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670B1" w14:textId="0F0AC210" w:rsidR="00757A24" w:rsidRPr="00281B08" w:rsidRDefault="007340CE" w:rsidP="00757A24">
      <w:pPr>
        <w:spacing w:before="60" w:after="60"/>
        <w:jc w:val="center"/>
        <w:rPr>
          <w:b/>
          <w:i/>
          <w:sz w:val="28"/>
          <w:szCs w:val="28"/>
        </w:rPr>
      </w:pPr>
      <w:r w:rsidRPr="00281B08">
        <w:rPr>
          <w:b/>
          <w:sz w:val="28"/>
          <w:szCs w:val="28"/>
          <w:lang w:val="nl-NL"/>
        </w:rPr>
        <w:t xml:space="preserve">Biểu </w:t>
      </w:r>
      <w:r w:rsidR="003767C0" w:rsidRPr="00281B08">
        <w:rPr>
          <w:b/>
          <w:sz w:val="28"/>
          <w:szCs w:val="28"/>
          <w:lang w:val="nl-NL"/>
        </w:rPr>
        <w:t>5</w:t>
      </w:r>
      <w:r w:rsidRPr="00281B08">
        <w:rPr>
          <w:b/>
          <w:sz w:val="28"/>
          <w:szCs w:val="28"/>
          <w:lang w:val="nl-NL"/>
        </w:rPr>
        <w:t>: K</w:t>
      </w:r>
      <w:r w:rsidR="00D74BFF" w:rsidRPr="00281B08">
        <w:rPr>
          <w:b/>
          <w:sz w:val="28"/>
          <w:szCs w:val="28"/>
          <w:lang w:val="nl-NL"/>
        </w:rPr>
        <w:t xml:space="preserve">ết quả giải quyết </w:t>
      </w:r>
      <w:r w:rsidR="00757A24" w:rsidRPr="00281B08">
        <w:rPr>
          <w:b/>
          <w:sz w:val="28"/>
          <w:szCs w:val="28"/>
        </w:rPr>
        <w:t xml:space="preserve">kiến nghị của Ban Thường trực Ủy ban MTTQ tỉnh </w:t>
      </w:r>
      <w:r w:rsidR="00757A24" w:rsidRPr="00281B08">
        <w:rPr>
          <w:b/>
          <w:sz w:val="28"/>
          <w:szCs w:val="28"/>
        </w:rPr>
        <w:br/>
        <w:t xml:space="preserve">tại Thông báo số </w:t>
      </w:r>
      <w:r w:rsidR="0094356E" w:rsidRPr="00D204FA">
        <w:rPr>
          <w:b/>
          <w:bCs/>
          <w:sz w:val="28"/>
          <w:szCs w:val="28"/>
        </w:rPr>
        <w:t>1</w:t>
      </w:r>
      <w:r w:rsidR="00933925">
        <w:rPr>
          <w:b/>
          <w:bCs/>
          <w:sz w:val="28"/>
          <w:szCs w:val="28"/>
        </w:rPr>
        <w:t>9</w:t>
      </w:r>
      <w:r w:rsidR="0094356E" w:rsidRPr="00D204FA">
        <w:rPr>
          <w:b/>
          <w:bCs/>
          <w:sz w:val="28"/>
          <w:szCs w:val="28"/>
        </w:rPr>
        <w:t xml:space="preserve">/TB-MTTQ-BTT ngày </w:t>
      </w:r>
      <w:r w:rsidR="00933925">
        <w:rPr>
          <w:b/>
          <w:bCs/>
          <w:sz w:val="28"/>
          <w:szCs w:val="28"/>
        </w:rPr>
        <w:t>06</w:t>
      </w:r>
      <w:r w:rsidR="00D204FA" w:rsidRPr="00D204FA">
        <w:rPr>
          <w:b/>
          <w:bCs/>
          <w:sz w:val="28"/>
          <w:szCs w:val="28"/>
        </w:rPr>
        <w:t>/12</w:t>
      </w:r>
      <w:r w:rsidR="0094356E" w:rsidRPr="00D204FA">
        <w:rPr>
          <w:b/>
          <w:bCs/>
          <w:sz w:val="28"/>
          <w:szCs w:val="28"/>
        </w:rPr>
        <w:t>/202</w:t>
      </w:r>
      <w:r w:rsidR="00933925">
        <w:rPr>
          <w:b/>
          <w:bCs/>
          <w:sz w:val="28"/>
          <w:szCs w:val="28"/>
        </w:rPr>
        <w:t>4</w:t>
      </w:r>
    </w:p>
    <w:p w14:paraId="66D1DF82" w14:textId="13478F9F" w:rsidR="00927717" w:rsidRDefault="00665416" w:rsidP="00757A24">
      <w:pPr>
        <w:spacing w:before="60" w:after="60"/>
        <w:jc w:val="center"/>
        <w:rPr>
          <w:sz w:val="26"/>
          <w:szCs w:val="26"/>
        </w:rPr>
      </w:pPr>
      <w:r w:rsidRPr="00281B08">
        <w:rPr>
          <w:i/>
          <w:sz w:val="26"/>
          <w:szCs w:val="26"/>
        </w:rPr>
        <w:t>(</w:t>
      </w:r>
      <w:r w:rsidR="006C165C">
        <w:rPr>
          <w:i/>
          <w:sz w:val="26"/>
          <w:szCs w:val="26"/>
        </w:rPr>
        <w:t>K</w:t>
      </w:r>
      <w:r w:rsidR="006C165C" w:rsidRPr="005B6A40">
        <w:rPr>
          <w:i/>
          <w:sz w:val="26"/>
          <w:szCs w:val="26"/>
        </w:rPr>
        <w:t xml:space="preserve">èm theo Báo cáo số </w:t>
      </w:r>
      <w:r w:rsidR="006C165C">
        <w:rPr>
          <w:i/>
          <w:sz w:val="26"/>
          <w:szCs w:val="26"/>
        </w:rPr>
        <w:t>33</w:t>
      </w:r>
      <w:r w:rsidR="006C165C" w:rsidRPr="005B6A40">
        <w:rPr>
          <w:i/>
          <w:sz w:val="26"/>
          <w:szCs w:val="26"/>
        </w:rPr>
        <w:t xml:space="preserve"> /BC-UBND</w:t>
      </w:r>
      <w:r w:rsidR="006C165C">
        <w:rPr>
          <w:i/>
          <w:sz w:val="26"/>
          <w:szCs w:val="26"/>
        </w:rPr>
        <w:t xml:space="preserve"> ngày</w:t>
      </w:r>
      <w:r w:rsidR="006C165C" w:rsidRPr="005B6A40">
        <w:rPr>
          <w:i/>
          <w:sz w:val="26"/>
          <w:szCs w:val="26"/>
        </w:rPr>
        <w:t xml:space="preserve"> </w:t>
      </w:r>
      <w:r w:rsidR="006C165C">
        <w:rPr>
          <w:i/>
          <w:sz w:val="26"/>
          <w:szCs w:val="26"/>
        </w:rPr>
        <w:t>27/6</w:t>
      </w:r>
      <w:r w:rsidR="006C165C" w:rsidRPr="005B6A40">
        <w:rPr>
          <w:i/>
          <w:sz w:val="26"/>
          <w:szCs w:val="26"/>
        </w:rPr>
        <w:t>/202</w:t>
      </w:r>
      <w:r w:rsidR="006C165C">
        <w:rPr>
          <w:i/>
          <w:sz w:val="26"/>
          <w:szCs w:val="26"/>
        </w:rPr>
        <w:t>5</w:t>
      </w:r>
      <w:r w:rsidR="006C165C" w:rsidRPr="005B6A40">
        <w:rPr>
          <w:i/>
          <w:sz w:val="26"/>
          <w:szCs w:val="26"/>
        </w:rPr>
        <w:t xml:space="preserve"> của UBND tỉnh</w:t>
      </w:r>
      <w:bookmarkStart w:id="0" w:name="_GoBack"/>
      <w:bookmarkEnd w:id="0"/>
      <w:r w:rsidR="00927717" w:rsidRPr="00281B08">
        <w:rPr>
          <w:i/>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957"/>
        <w:gridCol w:w="9356"/>
      </w:tblGrid>
      <w:tr w:rsidR="00CA7F13" w:rsidRPr="00CA7F13" w14:paraId="0E3EFC2D" w14:textId="77777777" w:rsidTr="00CA7F13">
        <w:trPr>
          <w:trHeight w:val="584"/>
        </w:trPr>
        <w:tc>
          <w:tcPr>
            <w:tcW w:w="0" w:type="auto"/>
            <w:shd w:val="clear" w:color="auto" w:fill="auto"/>
          </w:tcPr>
          <w:p w14:paraId="3736BA73" w14:textId="77777777" w:rsidR="00CA7F13" w:rsidRPr="00CA7F13" w:rsidRDefault="00CA7F13" w:rsidP="00CA7F13">
            <w:pPr>
              <w:spacing w:before="60" w:after="60"/>
              <w:jc w:val="center"/>
              <w:rPr>
                <w:b/>
                <w:sz w:val="26"/>
                <w:szCs w:val="26"/>
                <w:lang w:val="nl-NL"/>
              </w:rPr>
            </w:pPr>
            <w:r w:rsidRPr="00CA7F13">
              <w:rPr>
                <w:b/>
                <w:sz w:val="26"/>
                <w:szCs w:val="26"/>
                <w:lang w:val="nl-NL"/>
              </w:rPr>
              <w:t>STT</w:t>
            </w:r>
          </w:p>
        </w:tc>
        <w:tc>
          <w:tcPr>
            <w:tcW w:w="4957" w:type="dxa"/>
            <w:shd w:val="clear" w:color="auto" w:fill="auto"/>
          </w:tcPr>
          <w:p w14:paraId="499B99C1" w14:textId="77777777" w:rsidR="00CA7F13" w:rsidRPr="00CA7F13" w:rsidRDefault="00CA7F13" w:rsidP="00CA7F13">
            <w:pPr>
              <w:spacing w:before="60" w:after="60"/>
              <w:jc w:val="center"/>
              <w:rPr>
                <w:b/>
                <w:sz w:val="26"/>
                <w:szCs w:val="26"/>
                <w:lang w:val="nl-NL"/>
              </w:rPr>
            </w:pPr>
            <w:r w:rsidRPr="00CA7F13">
              <w:rPr>
                <w:b/>
                <w:sz w:val="26"/>
                <w:szCs w:val="26"/>
                <w:lang w:val="nl-NL"/>
              </w:rPr>
              <w:t>Lĩnh vực</w:t>
            </w:r>
          </w:p>
        </w:tc>
        <w:tc>
          <w:tcPr>
            <w:tcW w:w="9356" w:type="dxa"/>
          </w:tcPr>
          <w:p w14:paraId="7FCA4827" w14:textId="77777777" w:rsidR="00CA7F13" w:rsidRPr="00CA7F13" w:rsidRDefault="00CA7F13" w:rsidP="00CA7F13">
            <w:pPr>
              <w:spacing w:before="60" w:after="60"/>
              <w:jc w:val="center"/>
              <w:rPr>
                <w:b/>
                <w:sz w:val="26"/>
                <w:szCs w:val="26"/>
                <w:lang w:val="nl-NL"/>
              </w:rPr>
            </w:pPr>
            <w:r w:rsidRPr="00CA7F13">
              <w:rPr>
                <w:b/>
                <w:sz w:val="26"/>
                <w:szCs w:val="26"/>
                <w:lang w:val="nl-NL"/>
              </w:rPr>
              <w:t>Kết quả giải quyết</w:t>
            </w:r>
          </w:p>
        </w:tc>
      </w:tr>
      <w:tr w:rsidR="00CA7F13" w:rsidRPr="00CA7F13" w14:paraId="2AF5A41A" w14:textId="77777777" w:rsidTr="00CA7F13">
        <w:trPr>
          <w:trHeight w:val="415"/>
        </w:trPr>
        <w:tc>
          <w:tcPr>
            <w:tcW w:w="0" w:type="auto"/>
            <w:shd w:val="clear" w:color="auto" w:fill="auto"/>
          </w:tcPr>
          <w:p w14:paraId="215D1581" w14:textId="77777777" w:rsidR="00CA7F13" w:rsidRPr="00CA7F13" w:rsidRDefault="00CA7F13" w:rsidP="00CA7F13">
            <w:pPr>
              <w:spacing w:before="60" w:after="60"/>
              <w:jc w:val="center"/>
              <w:rPr>
                <w:bCs/>
                <w:sz w:val="26"/>
                <w:szCs w:val="26"/>
                <w:lang w:val="nl-NL"/>
              </w:rPr>
            </w:pPr>
            <w:r w:rsidRPr="00CA7F13">
              <w:rPr>
                <w:bCs/>
                <w:sz w:val="26"/>
                <w:szCs w:val="26"/>
                <w:lang w:val="nl-NL"/>
              </w:rPr>
              <w:t>1</w:t>
            </w:r>
          </w:p>
        </w:tc>
        <w:tc>
          <w:tcPr>
            <w:tcW w:w="4957" w:type="dxa"/>
            <w:shd w:val="clear" w:color="auto" w:fill="auto"/>
          </w:tcPr>
          <w:p w14:paraId="0B0EB076" w14:textId="461EA19E" w:rsidR="00CA7F13" w:rsidRPr="00CA7F13" w:rsidRDefault="00CA7F13" w:rsidP="00CA7F13">
            <w:pPr>
              <w:spacing w:before="60" w:after="60"/>
              <w:jc w:val="both"/>
              <w:rPr>
                <w:sz w:val="26"/>
                <w:szCs w:val="26"/>
                <w:lang w:val="vi-VN"/>
              </w:rPr>
            </w:pPr>
            <w:r w:rsidRPr="00CA7F13">
              <w:rPr>
                <w:sz w:val="26"/>
                <w:szCs w:val="26"/>
              </w:rPr>
              <w:t>Đề nghị UBND tỉnh chỉ đạo các sở, ngành, UBND các huyện, thị xã, thành phố quan tâm, phối hợp rà soát thống kê thực trạng số nhà tạm, nhà dột nát trên địa bàn; thống kê, thẩm định, phê duyệt đối với các trường hợp đủ điều kiện được hỗ trợ; trập trung giải quyết những khó khăn, vướng mắc về đất đai, quy hoạch đối với các trường hợp chưa đủ điều kiện để thực hiện kế hoạch xóa nhà tạm, nhà dột nát năm 2025</w:t>
            </w:r>
          </w:p>
        </w:tc>
        <w:tc>
          <w:tcPr>
            <w:tcW w:w="9356" w:type="dxa"/>
          </w:tcPr>
          <w:p w14:paraId="4E6708CB" w14:textId="77777777" w:rsidR="00CA7F13" w:rsidRPr="00CA7F13" w:rsidRDefault="00CA7F13" w:rsidP="005C4DCF">
            <w:pPr>
              <w:spacing w:before="60" w:after="60"/>
              <w:ind w:firstLine="601"/>
              <w:jc w:val="both"/>
              <w:rPr>
                <w:bCs/>
                <w:iCs/>
                <w:sz w:val="26"/>
                <w:szCs w:val="26"/>
              </w:rPr>
            </w:pPr>
            <w:r w:rsidRPr="00CA7F13">
              <w:rPr>
                <w:bCs/>
                <w:iCs/>
                <w:sz w:val="26"/>
                <w:szCs w:val="26"/>
              </w:rPr>
              <w:t>UBND tỉnh đã chỉ đạo Sở Tài nguyên và Môi trường (nay là Sở Nông nghiệp và Môi trường) chủ trì, phối hợp UBND huyện, thị xã, thành phố và các cơ quan, đơn vị có liên quan xem xét, giải quyết hoặc tham mưu UBND tỉnh biện pháp giải quyết nội dung kiến nghị của Ban Thường trực Ủy ban MTTQ tỉnh, kết quả cụ thể như sau:</w:t>
            </w:r>
          </w:p>
          <w:p w14:paraId="61C9458F" w14:textId="77777777" w:rsidR="00CA7F13" w:rsidRPr="00CA7F13" w:rsidRDefault="00CA7F13" w:rsidP="005C4DCF">
            <w:pPr>
              <w:spacing w:before="60" w:after="60"/>
              <w:ind w:firstLine="601"/>
              <w:jc w:val="both"/>
              <w:rPr>
                <w:sz w:val="26"/>
                <w:szCs w:val="26"/>
              </w:rPr>
            </w:pPr>
            <w:r w:rsidRPr="00CA7F13">
              <w:rPr>
                <w:sz w:val="26"/>
                <w:szCs w:val="26"/>
                <w:lang w:val="vi-VN"/>
              </w:rPr>
              <w:t xml:space="preserve">- </w:t>
            </w:r>
            <w:r w:rsidRPr="00CA7F13">
              <w:rPr>
                <w:sz w:val="26"/>
                <w:szCs w:val="26"/>
              </w:rPr>
              <w:t>Ngày 14/02/2025, Phó Chủ tịch Thường trực UBND tỉnh Mai Sơn tổ chức buổi họp bàn giải pháp xử lý vướng mắc về đất đai, quy hoạch phục vụ hỗ trợ nhà ở cho hộ nghèo, hộ cận nghèo thuộc Chương trình vận động hỗ trợ xóa nhà tạm, nhà dột nát cho hộ nghèo, hộ cận nghèo năm 2025 trên địa bàn tỉnh. Ngày 17/02/2025, UBND tỉnh đã có Thông báo số 75/TB-UBND</w:t>
            </w:r>
            <w:r w:rsidRPr="00CA7F13">
              <w:rPr>
                <w:sz w:val="26"/>
                <w:szCs w:val="26"/>
                <w:lang w:val="vi-VN"/>
              </w:rPr>
              <w:t xml:space="preserve"> về </w:t>
            </w:r>
            <w:r w:rsidRPr="00CA7F13">
              <w:rPr>
                <w:sz w:val="26"/>
                <w:szCs w:val="26"/>
              </w:rPr>
              <w:t>kết luận của Phó Chủ tịch Thường trực UBND tỉnh Mai Sơn</w:t>
            </w:r>
            <w:r w:rsidRPr="00CA7F13">
              <w:rPr>
                <w:sz w:val="26"/>
                <w:szCs w:val="26"/>
                <w:lang w:val="vi-VN"/>
              </w:rPr>
              <w:t>, trong đó</w:t>
            </w:r>
            <w:r w:rsidRPr="00CA7F13">
              <w:rPr>
                <w:sz w:val="26"/>
                <w:szCs w:val="26"/>
              </w:rPr>
              <w:t xml:space="preserve"> giao nhiệm vụ cụ</w:t>
            </w:r>
            <w:r w:rsidRPr="00CA7F13">
              <w:rPr>
                <w:sz w:val="26"/>
                <w:szCs w:val="26"/>
                <w:lang w:val="vi-VN"/>
              </w:rPr>
              <w:t xml:space="preserve"> thể </w:t>
            </w:r>
            <w:r w:rsidRPr="00CA7F13">
              <w:rPr>
                <w:sz w:val="26"/>
                <w:szCs w:val="26"/>
              </w:rPr>
              <w:t>cho UBND các huyện, thị xã</w:t>
            </w:r>
            <w:r w:rsidRPr="00CA7F13">
              <w:rPr>
                <w:sz w:val="26"/>
                <w:szCs w:val="26"/>
                <w:lang w:val="vi-VN"/>
              </w:rPr>
              <w:t xml:space="preserve"> và c</w:t>
            </w:r>
            <w:r w:rsidRPr="00CA7F13">
              <w:rPr>
                <w:sz w:val="26"/>
                <w:szCs w:val="26"/>
              </w:rPr>
              <w:t>ác Sở, ngành.</w:t>
            </w:r>
          </w:p>
          <w:p w14:paraId="017E7BC9" w14:textId="77777777" w:rsidR="00CA7F13" w:rsidRPr="00CA7F13" w:rsidRDefault="00CA7F13" w:rsidP="005C4DCF">
            <w:pPr>
              <w:spacing w:before="60" w:after="60"/>
              <w:ind w:firstLine="601"/>
              <w:jc w:val="both"/>
              <w:rPr>
                <w:i/>
                <w:iCs/>
                <w:sz w:val="26"/>
                <w:szCs w:val="26"/>
              </w:rPr>
            </w:pPr>
            <w:r w:rsidRPr="00CA7F13">
              <w:rPr>
                <w:sz w:val="26"/>
                <w:szCs w:val="26"/>
                <w:lang w:val="vi-VN"/>
              </w:rPr>
              <w:t xml:space="preserve">- </w:t>
            </w:r>
            <w:r w:rsidRPr="00CA7F13">
              <w:rPr>
                <w:sz w:val="26"/>
                <w:szCs w:val="26"/>
              </w:rPr>
              <w:t>Thực hiện Thông báo số 75/TB-UBND ngày 17/02/2025, Sở Nông</w:t>
            </w:r>
            <w:r w:rsidRPr="00CA7F13">
              <w:rPr>
                <w:sz w:val="26"/>
                <w:szCs w:val="26"/>
                <w:lang w:val="vi-VN"/>
              </w:rPr>
              <w:t xml:space="preserve"> nghiệp </w:t>
            </w:r>
            <w:r w:rsidRPr="00CA7F13">
              <w:rPr>
                <w:sz w:val="26"/>
                <w:szCs w:val="26"/>
              </w:rPr>
              <w:t>và Môi trường đã có Công văn số 650/STNMT-QLĐĐ đề nghị UBND các huyện, thị xã tập trung cao chỉ đạo cơ quan chuyên môn tiếp tục rà soát các trường hợp gặp khó khăn, vướng mắc liên quan đến đất đai thuộc các chương trình, đề án xóa nhà tạm trên địa bàn tỉnh</w:t>
            </w:r>
            <w:r w:rsidRPr="00CA7F13">
              <w:rPr>
                <w:sz w:val="26"/>
                <w:szCs w:val="26"/>
                <w:lang w:val="vi-VN"/>
              </w:rPr>
              <w:t>;</w:t>
            </w:r>
            <w:r w:rsidRPr="00CA7F13">
              <w:rPr>
                <w:sz w:val="26"/>
                <w:szCs w:val="26"/>
              </w:rPr>
              <w:t xml:space="preserve"> đồng thời khẩn trương chỉ đạo giải quyết để cấp Giấy chứng nhận quyền sử dụng đất ở những trường hợp có vướng mắc nhưng đã đủ điều kiện để hoàn thiện thủ tục về đất đai </w:t>
            </w:r>
            <w:r w:rsidRPr="00CA7F13">
              <w:rPr>
                <w:i/>
                <w:iCs/>
                <w:sz w:val="26"/>
                <w:szCs w:val="26"/>
              </w:rPr>
              <w:t>(xác định các vướng mắc chủ yếu thuộc thẩm quyền giải quyết của UBND cấp huyện).</w:t>
            </w:r>
          </w:p>
          <w:p w14:paraId="6C5F72A8" w14:textId="77777777" w:rsidR="00CA7F13" w:rsidRPr="00CA7F13" w:rsidRDefault="00CA7F13" w:rsidP="005C4DCF">
            <w:pPr>
              <w:spacing w:before="60" w:after="60"/>
              <w:ind w:firstLine="601"/>
              <w:jc w:val="both"/>
              <w:rPr>
                <w:sz w:val="26"/>
                <w:szCs w:val="26"/>
              </w:rPr>
            </w:pPr>
            <w:r w:rsidRPr="00CA7F13">
              <w:rPr>
                <w:sz w:val="26"/>
                <w:szCs w:val="26"/>
              </w:rPr>
              <w:t>- Kết quả tổng hợp đến ngày 17/4/2025,</w:t>
            </w:r>
            <w:r w:rsidRPr="00CA7F13">
              <w:rPr>
                <w:sz w:val="26"/>
                <w:szCs w:val="26"/>
                <w:lang w:val="vi-VN"/>
              </w:rPr>
              <w:t xml:space="preserve"> </w:t>
            </w:r>
            <w:r w:rsidRPr="00CA7F13">
              <w:rPr>
                <w:sz w:val="26"/>
                <w:szCs w:val="26"/>
              </w:rPr>
              <w:t>các trường hợp có khó khăn vướng mắc về đất đai thuộc Chương trình xoá nhà tạm, nhà dột nát là 531 trường hợp, trong đó:</w:t>
            </w:r>
          </w:p>
          <w:p w14:paraId="24BE906B" w14:textId="77777777" w:rsidR="00CA7F13" w:rsidRPr="00CA7F13" w:rsidRDefault="00CA7F13" w:rsidP="005C4DCF">
            <w:pPr>
              <w:spacing w:before="60" w:after="60"/>
              <w:ind w:firstLine="601"/>
              <w:jc w:val="both"/>
              <w:rPr>
                <w:sz w:val="26"/>
                <w:szCs w:val="26"/>
                <w:lang w:val="vi-VN"/>
              </w:rPr>
            </w:pPr>
            <w:r w:rsidRPr="00CA7F13">
              <w:rPr>
                <w:sz w:val="26"/>
                <w:szCs w:val="26"/>
              </w:rPr>
              <w:t>+ Số trường hợp có vướng mắc về đất đai, có thể hoàn thiện các thủ tục về đất đai (chuyển mục đích sử dụng đất; công nhận cấp Giấy chứng nhận quyền sử dụng đất; tách thửa đất): 232 trường hợp (hiện</w:t>
            </w:r>
            <w:r w:rsidRPr="00CA7F13">
              <w:rPr>
                <w:sz w:val="26"/>
                <w:szCs w:val="26"/>
                <w:lang w:val="vi-VN"/>
              </w:rPr>
              <w:t xml:space="preserve"> đ</w:t>
            </w:r>
            <w:r w:rsidRPr="00CA7F13">
              <w:rPr>
                <w:sz w:val="26"/>
                <w:szCs w:val="26"/>
              </w:rPr>
              <w:t>ã cấp GCNQSDĐ 17 trường hợp</w:t>
            </w:r>
            <w:r w:rsidRPr="00CA7F13">
              <w:rPr>
                <w:sz w:val="26"/>
                <w:szCs w:val="26"/>
                <w:lang w:val="vi-VN"/>
              </w:rPr>
              <w:t>; c</w:t>
            </w:r>
            <w:r w:rsidRPr="00CA7F13">
              <w:rPr>
                <w:sz w:val="26"/>
                <w:szCs w:val="26"/>
              </w:rPr>
              <w:t>ác thửa đất còn lại hiện nay đều đã được UBND cấp xã phối hợp với đơn vị đo đạc hoàn thiện kết quả đo đạc</w:t>
            </w:r>
            <w:r w:rsidRPr="00CA7F13">
              <w:rPr>
                <w:sz w:val="26"/>
                <w:szCs w:val="26"/>
                <w:lang w:val="vi-VN"/>
              </w:rPr>
              <w:t xml:space="preserve">, </w:t>
            </w:r>
            <w:r w:rsidRPr="00CA7F13">
              <w:rPr>
                <w:sz w:val="26"/>
                <w:szCs w:val="26"/>
              </w:rPr>
              <w:t>thực hiện thủ tục công khai hồ sơ tại khu dân cư, nhà văn hóa thôn</w:t>
            </w:r>
            <w:r w:rsidRPr="00CA7F13">
              <w:rPr>
                <w:sz w:val="26"/>
                <w:szCs w:val="26"/>
                <w:lang w:val="vi-VN"/>
              </w:rPr>
              <w:t>,</w:t>
            </w:r>
            <w:r w:rsidRPr="00CA7F13">
              <w:rPr>
                <w:sz w:val="26"/>
                <w:szCs w:val="26"/>
              </w:rPr>
              <w:t xml:space="preserve"> hoàn thiện hồ sơ cấp Giấy chứng nhận và trình UBND huyện cấp Giấy chứng nhận</w:t>
            </w:r>
            <w:r w:rsidRPr="00CA7F13">
              <w:rPr>
                <w:sz w:val="26"/>
                <w:szCs w:val="26"/>
                <w:lang w:val="vi-VN"/>
              </w:rPr>
              <w:t xml:space="preserve"> theo quy định).</w:t>
            </w:r>
          </w:p>
          <w:p w14:paraId="3DB721C7" w14:textId="77777777" w:rsidR="00CA7F13" w:rsidRPr="00CA7F13" w:rsidRDefault="00CA7F13" w:rsidP="005C4DCF">
            <w:pPr>
              <w:spacing w:before="60" w:after="60"/>
              <w:ind w:firstLine="601"/>
              <w:jc w:val="both"/>
              <w:rPr>
                <w:sz w:val="26"/>
                <w:szCs w:val="26"/>
              </w:rPr>
            </w:pPr>
            <w:r w:rsidRPr="00CA7F13">
              <w:rPr>
                <w:sz w:val="26"/>
                <w:szCs w:val="26"/>
              </w:rPr>
              <w:lastRenderedPageBreak/>
              <w:t>+ Số trường hợp không đủ điều kiện xét duyệt, vướng mắc không thể kịp hoàn thiện các thủ tục về đất đai (do</w:t>
            </w:r>
            <w:r w:rsidRPr="00CA7F13">
              <w:rPr>
                <w:sz w:val="26"/>
                <w:szCs w:val="26"/>
                <w:lang w:val="vi-VN"/>
              </w:rPr>
              <w:t xml:space="preserve"> </w:t>
            </w:r>
            <w:r w:rsidRPr="00CA7F13">
              <w:rPr>
                <w:sz w:val="26"/>
                <w:szCs w:val="26"/>
              </w:rPr>
              <w:t>không phù hợp quy hoạch sử dụng đất, quy hoạch xây dựng, vi phạm pháp luật đất đai…): 299 trường hợp.</w:t>
            </w:r>
          </w:p>
          <w:p w14:paraId="35979F05" w14:textId="202B030A" w:rsidR="00CA7F13" w:rsidRPr="00CA7F13" w:rsidRDefault="00CA7F13" w:rsidP="005C4DCF">
            <w:pPr>
              <w:spacing w:before="60" w:after="60"/>
              <w:ind w:firstLine="601"/>
              <w:jc w:val="both"/>
              <w:rPr>
                <w:sz w:val="26"/>
                <w:szCs w:val="26"/>
              </w:rPr>
            </w:pPr>
            <w:r w:rsidRPr="00CA7F13">
              <w:rPr>
                <w:sz w:val="26"/>
                <w:szCs w:val="26"/>
                <w:lang w:val="vi-VN"/>
              </w:rPr>
              <w:t xml:space="preserve">- </w:t>
            </w:r>
            <w:r w:rsidRPr="00CA7F13">
              <w:rPr>
                <w:sz w:val="26"/>
                <w:szCs w:val="26"/>
              </w:rPr>
              <w:t>Ngày 18/4/2025, Phó Chủ tịch Thường trực UBND tỉnh Mai Sơn chủ trì, tổ chức Hội nghị kiểm điểm tiến độ triển khai Chương trình vận động hỗ trợ xoá nhà tạm, nhà dột nát cho hộ nghèo, hộ cận nghèo, người có công năm 2025 trên địa bàn tỉnh. Ngày 20/4/2025</w:t>
            </w:r>
            <w:r w:rsidRPr="00CA7F13">
              <w:rPr>
                <w:sz w:val="26"/>
                <w:szCs w:val="26"/>
                <w:lang w:val="vi-VN"/>
              </w:rPr>
              <w:t>,</w:t>
            </w:r>
            <w:r w:rsidRPr="00CA7F13">
              <w:rPr>
                <w:sz w:val="26"/>
                <w:szCs w:val="26"/>
              </w:rPr>
              <w:t xml:space="preserve"> đã có Thông báo</w:t>
            </w:r>
            <w:r w:rsidRPr="00CA7F13">
              <w:rPr>
                <w:sz w:val="26"/>
                <w:szCs w:val="26"/>
                <w:lang w:val="vi-VN"/>
              </w:rPr>
              <w:t xml:space="preserve"> </w:t>
            </w:r>
            <w:r w:rsidRPr="00CA7F13">
              <w:rPr>
                <w:sz w:val="26"/>
                <w:szCs w:val="26"/>
              </w:rPr>
              <w:t>số 213/TB-UBND</w:t>
            </w:r>
            <w:r w:rsidRPr="00CA7F13">
              <w:rPr>
                <w:sz w:val="26"/>
                <w:szCs w:val="26"/>
                <w:lang w:val="vi-VN"/>
              </w:rPr>
              <w:t>,</w:t>
            </w:r>
            <w:r w:rsidRPr="00CA7F13">
              <w:rPr>
                <w:sz w:val="26"/>
                <w:szCs w:val="26"/>
              </w:rPr>
              <w:t xml:space="preserve"> theo đó yêu cầu tập trung chỉ đạo giải quyết 232 trường hợp vướng mắc về đất đai nhưng có thể tháo gỡ, hoàn thiện hồ sơ, thủ tục, phấn đấu tháo gỡ được toàn bộ 100% trường hợp, hoàn thành trong tháng 6/2025. Đối với các trường hợp có vướng mắc về đất đai nhưng qua rà soát xác định không đủ điều kiện để hợp thức hóa hoặc bố trí quỹ đất khác, Chủ tịch UBND cấp huyện tổng hợp danh sách chi tiết để đề xuất Chủ tịch UBND tỉnh phương án xử lý, giải quyết dứt điểm.</w:t>
            </w:r>
          </w:p>
          <w:p w14:paraId="14BC407C" w14:textId="77777777" w:rsidR="00CA7F13" w:rsidRPr="00CA7F13" w:rsidRDefault="00CA7F13" w:rsidP="005C4DCF">
            <w:pPr>
              <w:spacing w:before="60" w:after="60"/>
              <w:ind w:firstLine="601"/>
              <w:jc w:val="both"/>
              <w:rPr>
                <w:sz w:val="26"/>
                <w:szCs w:val="26"/>
              </w:rPr>
            </w:pPr>
            <w:r w:rsidRPr="00CA7F13">
              <w:rPr>
                <w:sz w:val="26"/>
                <w:szCs w:val="26"/>
              </w:rPr>
              <w:t>Thực hiện nhiệm vụ được giao, Sở Xây dựng đã phối hợp các Sở, ngành, UBND các huyện, thành phố, thị xã rà soát thống kê thực trạng số nhà tạm, nhà dột nát theo 02 Đề án, cụ thể:</w:t>
            </w:r>
          </w:p>
          <w:p w14:paraId="15029B55" w14:textId="2D206BE7" w:rsidR="00CA7F13" w:rsidRPr="00CA7F13" w:rsidRDefault="00CA7F13" w:rsidP="005C4DCF">
            <w:pPr>
              <w:spacing w:before="60" w:after="60"/>
              <w:ind w:firstLine="601"/>
              <w:jc w:val="both"/>
              <w:rPr>
                <w:sz w:val="26"/>
                <w:szCs w:val="26"/>
              </w:rPr>
            </w:pPr>
            <w:r w:rsidRPr="00CA7F13">
              <w:rPr>
                <w:i/>
                <w:sz w:val="26"/>
                <w:szCs w:val="26"/>
              </w:rPr>
              <w:t>+ Đề án Hỗ trợ người có công với cách mạng và thân nhân liệt sĩ về nhà ở trên địa bàn tỉnh Bắc Giang năm 2025:</w:t>
            </w:r>
            <w:r w:rsidRPr="00CA7F13">
              <w:rPr>
                <w:sz w:val="26"/>
                <w:szCs w:val="26"/>
              </w:rPr>
              <w:t xml:space="preserve"> Thực hiện Quyết định số 21/QĐ-TTg ngày 22/11/2024 của Thủ tướng Chính phủ về phê duyệt mức hỗ trợ về nhà ở cho người có công với cách mạng, thân nhân liệt sỹ; Sở Xây dựng đã chủ trì, phối hợp với Uỷ ban Mặt trận Tổ quốc tỉnh, các cơ quan có liên quan và UBND các huyện, thị xã, thành phố tổ chức rà soát các đối tượng, xây dựng, trình UBND tỉnh phê duyệt Đề án hỗ trợ người có công với cách mạng và thân nhân liệt sĩ về nhà ở trên địa bàn tỉnh Bắc Giang năm 2025 tại Quyết định số 131/QĐ-UBND ngày 18/02/2025. Đề án thực hiện hỗ trợ 233 hộ (trong đó: 109 hộ xây mới, 124 hộ sửa chữa).</w:t>
            </w:r>
          </w:p>
          <w:p w14:paraId="200DCDE5" w14:textId="4FD84B84" w:rsidR="00CA7F13" w:rsidRPr="00CA7F13" w:rsidRDefault="00CA7F13" w:rsidP="005C4DCF">
            <w:pPr>
              <w:spacing w:before="60" w:after="60"/>
              <w:ind w:firstLine="601"/>
              <w:jc w:val="both"/>
              <w:rPr>
                <w:sz w:val="26"/>
                <w:szCs w:val="26"/>
              </w:rPr>
            </w:pPr>
            <w:r w:rsidRPr="00CA7F13">
              <w:rPr>
                <w:i/>
                <w:sz w:val="26"/>
                <w:szCs w:val="26"/>
              </w:rPr>
              <w:t>+ Đề án hỗ trợ nhà ở cho hộ nghèo, hộ cận nghèo trên địa bàn huyện nghèo Sơn Động thuộc Chương trình MTQG giảm nghèo bền vững năm 2025</w:t>
            </w:r>
            <w:r w:rsidRPr="00CA7F13">
              <w:rPr>
                <w:sz w:val="26"/>
                <w:szCs w:val="26"/>
              </w:rPr>
              <w:t>: Đề án đã được UBND tỉnh phê duyệt tại Quyết định số 1086/QĐ-UBND ngày 30/10/2022 và điều chỉnh tại Quyết định số 1174/QĐ-UBND ngày 25/10/2023; với tổng số 751 hộ (trong đó 649 hộ xây dựng mới và 102 hộ cải tạo, sửa chữa nhà ở).</w:t>
            </w:r>
          </w:p>
          <w:p w14:paraId="4CA07EA4" w14:textId="37D5F58C" w:rsidR="00CA7F13" w:rsidRPr="00CA7F13" w:rsidRDefault="00CA7F13" w:rsidP="005C4DCF">
            <w:pPr>
              <w:spacing w:before="60" w:after="60"/>
              <w:ind w:firstLine="601"/>
              <w:jc w:val="both"/>
              <w:rPr>
                <w:sz w:val="26"/>
                <w:szCs w:val="26"/>
              </w:rPr>
            </w:pPr>
            <w:r w:rsidRPr="00CA7F13">
              <w:rPr>
                <w:sz w:val="26"/>
                <w:szCs w:val="26"/>
              </w:rPr>
              <w:t xml:space="preserve">Kết quả, trong năm 2023-2024, đã phê duyệt và hỗ trợ nhà ở cho 168 hộ. Năm 2025, Sở Xây dựng đã phối hợp với UBND huyện Sơn Động tổ chức rà soát, đánh giá lại nhu cầu, điều kiện để tham mưu UBND tỉnh phê duyệt điều chỉnh Đề án. Hiện nay, </w:t>
            </w:r>
            <w:r w:rsidRPr="00CA7F13">
              <w:rPr>
                <w:sz w:val="26"/>
                <w:szCs w:val="26"/>
              </w:rPr>
              <w:lastRenderedPageBreak/>
              <w:t>Sở Xây dựng đã trình UBND tỉnh Đề án điều chỉnh với số hộ còn lại thực hiện hỗ trợ là 43 hộ có nhu cầu hỗ trợ năm 2025.</w:t>
            </w:r>
          </w:p>
          <w:p w14:paraId="4427391D" w14:textId="77777777" w:rsidR="00CA7F13" w:rsidRPr="00CA7F13" w:rsidRDefault="00CA7F13" w:rsidP="005C4DCF">
            <w:pPr>
              <w:spacing w:before="60" w:after="60"/>
              <w:ind w:firstLine="601"/>
              <w:jc w:val="both"/>
              <w:rPr>
                <w:i/>
                <w:sz w:val="26"/>
                <w:szCs w:val="26"/>
              </w:rPr>
            </w:pPr>
            <w:r w:rsidRPr="00CA7F13">
              <w:rPr>
                <w:i/>
                <w:sz w:val="26"/>
                <w:szCs w:val="26"/>
              </w:rPr>
              <w:t>* Về tháo gỡ vướng mắc liên quan đến quy hoạch xây dựng:</w:t>
            </w:r>
          </w:p>
          <w:p w14:paraId="2FC6D7B7" w14:textId="2639D999" w:rsidR="00CA7F13" w:rsidRPr="00CA7F13" w:rsidRDefault="00CA7F13" w:rsidP="005C4DCF">
            <w:pPr>
              <w:spacing w:before="60" w:after="60"/>
              <w:ind w:firstLine="601"/>
              <w:jc w:val="both"/>
              <w:rPr>
                <w:sz w:val="26"/>
                <w:szCs w:val="26"/>
              </w:rPr>
            </w:pPr>
            <w:r w:rsidRPr="00CA7F13">
              <w:rPr>
                <w:sz w:val="26"/>
                <w:szCs w:val="26"/>
              </w:rPr>
              <w:t>Ngày 25/3/2025, Sở Xây dựng có Văn bản số 333/SXD-QLN báo cáo UBND tỉnh về kết quả tháo gỡ, vướng mắc liên quan đến quy hoạch xây dựng. Theo đó, qua rà soát tổng thể các chương trình hỗ trợ trên địa bàn tỉnh có 25 trường hợp vướng mắc về quy hoạch (bao gồm: Thị xã Chũ 13 trường hợp, huyện Sơn Động 10 trường hợp, huyện Lục Ngạn 02 trường hợp). Sở Xây dựng đã tổ chức rà soát, hướng dẫn cụ thể việc tháo gỡ các vướng mắc liên quan đến quy hoạch. Kết quả: 05 trường hợp trên địa bàn thị xã Chũ: đã tháo gỡ xong vướng mắc và triển khai xây dựng nhà ở; 03 trường hợp trên địa bàn huyện Sơn Động đã tháo gỡ xong (02 trường hợp đã xây dựng nhà ở, 01 trường hợp chưa có nhu cầu xây dựng nhà ở năm 2025); 17 trường hợp còn lại (thị xã Chũ: 08 trường hợp; huyện Lục Ngạn: 02 trường hợp; huyện Sơn Động: 07 trường hợp) không phù hợp quy hoạch xây dựng không thể giải quyết, đã đề nghị UBND cấp huyện nghiên cứu giải quyết bằng biện pháp khác.</w:t>
            </w:r>
          </w:p>
          <w:p w14:paraId="7A4E5A93" w14:textId="77777777" w:rsidR="00CA7F13" w:rsidRPr="00CA7F13" w:rsidRDefault="00CA7F13" w:rsidP="005C4DCF">
            <w:pPr>
              <w:spacing w:before="60" w:after="60"/>
              <w:ind w:firstLine="601"/>
              <w:jc w:val="both"/>
              <w:rPr>
                <w:sz w:val="26"/>
                <w:szCs w:val="26"/>
              </w:rPr>
            </w:pPr>
            <w:r w:rsidRPr="00CA7F13">
              <w:rPr>
                <w:sz w:val="26"/>
                <w:szCs w:val="26"/>
              </w:rPr>
              <w:t>Trong thời gian tới, Sở Xây dựng tiếp tục phối hợp với Uỷ ban Mặt trận Tổ quốc tỉnh, các Sở, UBND các huyện, thị xã, thành phố triển khai thực hiện Chương trình xoá nhà tạm, nhà dột nát trên địa bàn tỉnh đảm bảo hoàn thành theo yêu cầu tiến độ đề ra.</w:t>
            </w:r>
          </w:p>
        </w:tc>
      </w:tr>
      <w:tr w:rsidR="00CA7F13" w:rsidRPr="00CA7F13" w14:paraId="5A198CA3" w14:textId="77777777" w:rsidTr="00CA7F13">
        <w:trPr>
          <w:trHeight w:val="415"/>
        </w:trPr>
        <w:tc>
          <w:tcPr>
            <w:tcW w:w="0" w:type="auto"/>
            <w:shd w:val="clear" w:color="auto" w:fill="auto"/>
          </w:tcPr>
          <w:p w14:paraId="2CA54619" w14:textId="77777777" w:rsidR="00CA7F13" w:rsidRPr="00CA7F13" w:rsidRDefault="00CA7F13" w:rsidP="00CA7F13">
            <w:pPr>
              <w:spacing w:before="60" w:after="60"/>
              <w:jc w:val="center"/>
              <w:rPr>
                <w:bCs/>
                <w:sz w:val="26"/>
                <w:szCs w:val="26"/>
                <w:lang w:val="nl-NL"/>
              </w:rPr>
            </w:pPr>
            <w:r w:rsidRPr="00CA7F13">
              <w:rPr>
                <w:bCs/>
                <w:sz w:val="26"/>
                <w:szCs w:val="26"/>
                <w:lang w:val="nl-NL"/>
              </w:rPr>
              <w:lastRenderedPageBreak/>
              <w:t>2</w:t>
            </w:r>
          </w:p>
        </w:tc>
        <w:tc>
          <w:tcPr>
            <w:tcW w:w="4957" w:type="dxa"/>
            <w:shd w:val="clear" w:color="auto" w:fill="auto"/>
          </w:tcPr>
          <w:p w14:paraId="5B7EFFF4" w14:textId="145D7EFA" w:rsidR="00CA7F13" w:rsidRPr="00CA7F13" w:rsidRDefault="00CA7F13" w:rsidP="005C4DCF">
            <w:pPr>
              <w:spacing w:before="60" w:after="60"/>
              <w:jc w:val="both"/>
              <w:rPr>
                <w:sz w:val="26"/>
                <w:szCs w:val="26"/>
              </w:rPr>
            </w:pPr>
            <w:r w:rsidRPr="00CA7F13">
              <w:rPr>
                <w:sz w:val="26"/>
                <w:szCs w:val="26"/>
              </w:rPr>
              <w:t>Tiếp tục thực hiện các biện pháp quản lý, sử dụng đất công trên địa bàn tỉnh, nhất là đối với những trụ sở, cơ quan, thiết chế văn hóa sau sáp nhập đơn vị hành chính cấp huyện, cấp xã; rà soát các dự án, công trình đầu tư dở dang, hoặc chưa đưa vào sử dụng, để có biện pháp tháo gỡ, xử lý.</w:t>
            </w:r>
          </w:p>
        </w:tc>
        <w:tc>
          <w:tcPr>
            <w:tcW w:w="9356" w:type="dxa"/>
          </w:tcPr>
          <w:p w14:paraId="2B2CC057" w14:textId="77777777" w:rsidR="00CA7F13" w:rsidRPr="00CA7F13" w:rsidRDefault="00CA7F13" w:rsidP="005C4DCF">
            <w:pPr>
              <w:spacing w:before="60" w:after="60"/>
              <w:ind w:firstLine="605"/>
              <w:jc w:val="both"/>
              <w:rPr>
                <w:bCs/>
                <w:iCs/>
                <w:sz w:val="26"/>
                <w:szCs w:val="26"/>
              </w:rPr>
            </w:pPr>
            <w:r w:rsidRPr="00CA7F13">
              <w:rPr>
                <w:bCs/>
                <w:iCs/>
                <w:sz w:val="26"/>
                <w:szCs w:val="26"/>
              </w:rPr>
              <w:t>UBND tỉnh đã chỉ đạo Sở Tài chính chủ trì, phối hợp các cơ quan, đơn vị có liên quan xem xét, giải quyết hoặc tham mưu UBND tỉnh biện pháp giải quyết nội dung kiến nghị của Ban Thường trực Ủy ban MTTQ tỉnh, kết quả cụ thể như sau:</w:t>
            </w:r>
          </w:p>
          <w:p w14:paraId="6EDB9B5A" w14:textId="61DCFFBB" w:rsidR="00CA7F13" w:rsidRPr="00CA7F13" w:rsidRDefault="00CA7F13" w:rsidP="005C4DCF">
            <w:pPr>
              <w:spacing w:before="60" w:after="60"/>
              <w:ind w:firstLine="605"/>
              <w:jc w:val="both"/>
              <w:rPr>
                <w:sz w:val="26"/>
                <w:szCs w:val="26"/>
              </w:rPr>
            </w:pPr>
            <w:r w:rsidRPr="00CA7F13">
              <w:rPr>
                <w:b/>
                <w:sz w:val="26"/>
                <w:szCs w:val="26"/>
              </w:rPr>
              <w:t>1. Đối với tài sản công dôi dư:</w:t>
            </w:r>
            <w:r w:rsidRPr="00CA7F13">
              <w:rPr>
                <w:sz w:val="26"/>
                <w:szCs w:val="26"/>
              </w:rPr>
              <w:t xml:space="preserve"> Ngày 29/4/2025, Sở Tài chính tiếp tục có Công văn số 1163/STC-QLG&amp;CS gửi Chủ tịch UBND tỉnh để báo cáo việc rà soát trụ sở các cơ quan, đơn vị thực hiện sắp xếp, tinh gọn bộ máy, đơn vị hành chính và xây dựng dự thảo văn bản của Chủ tịch UBND tỉnh chỉ đạo tổ chức triển khai thực hiện phương án quản lý, sử dụng trụ sở các cơ quan, đơn vị thực hiện sắp xếp, tinh gọn bộ máy. Trong đó:</w:t>
            </w:r>
          </w:p>
          <w:p w14:paraId="79E3AC0D" w14:textId="77777777" w:rsidR="00CA7F13" w:rsidRPr="00CA7F13" w:rsidRDefault="00CA7F13" w:rsidP="005C4DCF">
            <w:pPr>
              <w:spacing w:before="60" w:after="60"/>
              <w:ind w:firstLine="605"/>
              <w:jc w:val="both"/>
              <w:rPr>
                <w:sz w:val="26"/>
                <w:szCs w:val="26"/>
              </w:rPr>
            </w:pPr>
            <w:r w:rsidRPr="00CA7F13">
              <w:rPr>
                <w:i/>
                <w:sz w:val="26"/>
                <w:szCs w:val="26"/>
              </w:rPr>
              <w:t>(1) Về nhóm tài sản thuộc phương án giữ lại tiếp tục quản lý, sử dụng:</w:t>
            </w:r>
            <w:r w:rsidRPr="00CA7F13">
              <w:rPr>
                <w:sz w:val="26"/>
                <w:szCs w:val="26"/>
              </w:rPr>
              <w:t xml:space="preserve"> Thủ trưởng các cơ quan, đơn vị cấp tỉnh; Chủ tịch UBND cấp xã thực hiện quản lý, bố trí sử dụng tài sản đảm bảo hiệu quả, tiết kiệm, theo đúng tiêu chuẩn, định mức quy định của pháp luật về quản lý tài sản công và pháp luật có liên quan.</w:t>
            </w:r>
          </w:p>
          <w:p w14:paraId="2E4C5F57" w14:textId="4B128A06" w:rsidR="00CA7F13" w:rsidRPr="00CA7F13" w:rsidRDefault="00CA7F13" w:rsidP="005C4DCF">
            <w:pPr>
              <w:spacing w:before="60" w:after="60"/>
              <w:ind w:firstLine="605"/>
              <w:jc w:val="both"/>
              <w:rPr>
                <w:sz w:val="26"/>
                <w:szCs w:val="26"/>
              </w:rPr>
            </w:pPr>
            <w:r w:rsidRPr="00CA7F13">
              <w:rPr>
                <w:i/>
                <w:sz w:val="26"/>
                <w:szCs w:val="26"/>
              </w:rPr>
              <w:lastRenderedPageBreak/>
              <w:t>(2) Về nhóm tài sản đề xuất phương án điều chuyển:</w:t>
            </w:r>
            <w:r w:rsidRPr="00CA7F13">
              <w:rPr>
                <w:sz w:val="26"/>
                <w:szCs w:val="26"/>
              </w:rPr>
              <w:t xml:space="preserve"> Để tránh lãng phí tài sản công, thủ trưởng các cơ quan, đơn vị cấp tỉnh, Chủ tịch UBND cấp xã chỉ đạo cơ quan, đơn vị đang quản lý, sử dụng tài sản khẩn trương lập hồ sơ đề nghị điều chuyển tài sản, trình cơ quan, người có thẩm quyền xem xét, quyết định theo quy định của Luật Quản lý, sử dụng tài sản công, Nghị định số 151/2017/NĐ-CP ngày 26/12/2017, Nghị định số 114/2024/NĐ-CP ngày 15/9/2024, Nghị định 50/2025/NĐ-CP ngày 28/02/2025 của Chính phủ.</w:t>
            </w:r>
          </w:p>
          <w:p w14:paraId="42F266BF" w14:textId="2145D6EE" w:rsidR="00CA7F13" w:rsidRPr="00CA7F13" w:rsidRDefault="00CA7F13" w:rsidP="005C4DCF">
            <w:pPr>
              <w:spacing w:before="60" w:after="60"/>
              <w:ind w:firstLine="605"/>
              <w:jc w:val="both"/>
              <w:rPr>
                <w:sz w:val="26"/>
                <w:szCs w:val="26"/>
              </w:rPr>
            </w:pPr>
            <w:r w:rsidRPr="00CA7F13">
              <w:rPr>
                <w:i/>
                <w:sz w:val="26"/>
                <w:szCs w:val="26"/>
              </w:rPr>
              <w:t>(3) Về nhóm tài sản đề xuất phương án thu hồi; nhóm tài sản dôi dư</w:t>
            </w:r>
            <w:r w:rsidRPr="00CA7F13">
              <w:rPr>
                <w:sz w:val="26"/>
                <w:szCs w:val="26"/>
              </w:rPr>
              <w:t xml:space="preserve"> Thủ trưởng các cơ quan, đơn vị cấp tỉnh, Chủ tịch UBND cấp xã chỉ đạo các đơn vị, phòng ban trực thuộc thực hiện rà soát, phân loại toàn bộ quỹ nhà, đất là tài sản công đang quản lý, sử dụng báo cáo cấp thẩm quyền giao, chuyển giao cho Trung tâm phát triển quỹ đất tỉnh, tổ chức có chức năng quản lý kinh doanh nhà hoặc UBND cấp xã quản lý, khai thác, đề xuất xử lý theo quy định của pháp luật về tài sản công, pháp luật về đất đai và pháp luật khác có liên quan (các cơ quan, đơn vị thực hiện rà soát, tổng hợp kết quả báo cáo cấp thẩm quyền theo chỉ đạo của Chủ tịch UBND tỉnh tại Công văn số 6617/UBND-KTTH ngày 16/11/2024).</w:t>
            </w:r>
          </w:p>
          <w:p w14:paraId="685C7491" w14:textId="0F533EA2" w:rsidR="00CA7F13" w:rsidRPr="00CA7F13" w:rsidRDefault="00CA7F13" w:rsidP="005C4DCF">
            <w:pPr>
              <w:spacing w:before="60" w:after="60"/>
              <w:ind w:firstLine="605"/>
              <w:jc w:val="both"/>
              <w:rPr>
                <w:sz w:val="26"/>
                <w:szCs w:val="26"/>
              </w:rPr>
            </w:pPr>
            <w:r w:rsidRPr="00CA7F13">
              <w:rPr>
                <w:i/>
                <w:sz w:val="26"/>
                <w:szCs w:val="26"/>
              </w:rPr>
              <w:t>(4) Về nhóm tài sản đề xuất phương án xử lý khác Toàn bộ cơ sở nhà, đất của các cơ quan, đơn vị</w:t>
            </w:r>
            <w:r w:rsidRPr="00CA7F13">
              <w:rPr>
                <w:sz w:val="26"/>
                <w:szCs w:val="26"/>
              </w:rPr>
              <w:t xml:space="preserve"> thuộc diện sắp xếp, sáp nhập, tinh gọn bộ máy đề xuất sắp xếp, xử lý theo phương án xử lý khác, chủ tịch UBND huyện, thị xã, thành phố chỉ đạo các đơn vị, phòng ban trực thuộc thực hiện rà soát, khẩn trương hoàn thiện hồ sơ, thủ tục theo quy định để báo cáo, tham mưu cấp thẩm quyền xử lý tài sản theo quy định của pháp luật về tài sản công, pháp luật về đất đai và pháp luật khác có liên quan. Sau khi hoàn thành việc sắp xếp ĐVHC, thủ trưởng các cơ quan, đơn vị cấp tỉnh, Chủ tịch UBND cấp xã chỉ đạo các đơn vị, phòng ban trực thuộc rà soát lại toàn bộ cơ sở nhà, đất thuộc phạm vi quản lý (bao gồm: Tổng cơ sở nhà, đất; số cơ sở đang sử dụng; số cơ sở dôi dư và dự kiến phương án xử lý...) làm cơ sở thực hiện việc quản lý, sử dụng; tham mưu cấp thẩm quyền xử lý tài sản theo quy định. Báo cáo rà soát gửi về Sở Tài chính trước ngày 15/7/2025.</w:t>
            </w:r>
          </w:p>
          <w:p w14:paraId="3DF0CDF2" w14:textId="77777777" w:rsidR="00CA7F13" w:rsidRPr="00CA7F13" w:rsidRDefault="00CA7F13" w:rsidP="005C4DCF">
            <w:pPr>
              <w:spacing w:before="60" w:after="60"/>
              <w:ind w:firstLine="605"/>
              <w:jc w:val="both"/>
              <w:rPr>
                <w:sz w:val="26"/>
                <w:szCs w:val="26"/>
              </w:rPr>
            </w:pPr>
            <w:r w:rsidRPr="00CA7F13">
              <w:rPr>
                <w:b/>
                <w:sz w:val="26"/>
                <w:szCs w:val="26"/>
              </w:rPr>
              <w:t>2. Đối với rà soát các dự án, công trình đầu tư dở dang:</w:t>
            </w:r>
            <w:r w:rsidRPr="00CA7F13">
              <w:rPr>
                <w:sz w:val="26"/>
                <w:szCs w:val="26"/>
              </w:rPr>
              <w:t xml:space="preserve"> Thực hiện chỉ đạo của Chủ tịch UBND tỉnh tại Công văn số 210/UBNDKTN ngày 26/12/2024 và Công văn số 211/UBND-KTN ngày 26/12/2024 về việc Thông báo kết luận số 33-TB/BCĐ ngày 03/12/2024 của Ban Chỉ đạo phòng, chống tham nhũng, tiêu cực tỉnh; Sở Kế hoạch và Đầu tư (nay là Sở Tài chính) đã ban hành các Công văn số 1/SKHĐT-THQH ngày 10/01/2025, số 3/SKHĐTKTĐN ngày 21/01/2025 đề nghị các cơ quan, đơn vị có liên </w:t>
            </w:r>
            <w:r w:rsidRPr="00CA7F13">
              <w:rPr>
                <w:sz w:val="26"/>
                <w:szCs w:val="26"/>
              </w:rPr>
              <w:lastRenderedPageBreak/>
              <w:t>quan tiếp tục rà soát, thống kê các công trình, dự án đầu tư dở dang và đề xuất biện pháp xử lý. Căn cứ báo cáo của các cơ quan, đơn vị, ngày 10/3/2025 Sở Tài chính đã tổng hợp, báo cáo Chủ tịch UBND tỉnh kết quả rà soát các công trình, dự án đầu tư dở dang tại Báo cáo số 02/BC-STC; trong đó đã tổng hợp các công trình, dự án đầu tư dở dang và đề xuất biện pháp xử lý đối với từng công trình, dự án.</w:t>
            </w:r>
          </w:p>
        </w:tc>
      </w:tr>
      <w:tr w:rsidR="00CA7F13" w:rsidRPr="00CA7F13" w14:paraId="73D72166" w14:textId="77777777" w:rsidTr="00CA7F13">
        <w:trPr>
          <w:trHeight w:val="415"/>
        </w:trPr>
        <w:tc>
          <w:tcPr>
            <w:tcW w:w="0" w:type="auto"/>
            <w:shd w:val="clear" w:color="auto" w:fill="auto"/>
          </w:tcPr>
          <w:p w14:paraId="21352D3F" w14:textId="77777777" w:rsidR="00CA7F13" w:rsidRPr="00CA7F13" w:rsidRDefault="00CA7F13" w:rsidP="00CA7F13">
            <w:pPr>
              <w:spacing w:before="60" w:after="60"/>
              <w:jc w:val="center"/>
              <w:rPr>
                <w:bCs/>
                <w:sz w:val="26"/>
                <w:szCs w:val="26"/>
                <w:lang w:val="nl-NL"/>
              </w:rPr>
            </w:pPr>
            <w:r w:rsidRPr="00CA7F13">
              <w:rPr>
                <w:bCs/>
                <w:sz w:val="26"/>
                <w:szCs w:val="26"/>
                <w:lang w:val="nl-NL"/>
              </w:rPr>
              <w:lastRenderedPageBreak/>
              <w:t>3</w:t>
            </w:r>
          </w:p>
        </w:tc>
        <w:tc>
          <w:tcPr>
            <w:tcW w:w="4957" w:type="dxa"/>
            <w:shd w:val="clear" w:color="auto" w:fill="auto"/>
          </w:tcPr>
          <w:p w14:paraId="1015902C" w14:textId="07967BFC" w:rsidR="00CA7F13" w:rsidRPr="00CA7F13" w:rsidRDefault="00CA7F13" w:rsidP="005C4DCF">
            <w:pPr>
              <w:spacing w:before="60" w:after="60"/>
              <w:jc w:val="both"/>
              <w:rPr>
                <w:bCs/>
                <w:sz w:val="26"/>
                <w:szCs w:val="26"/>
              </w:rPr>
            </w:pPr>
            <w:r w:rsidRPr="00CA7F13">
              <w:rPr>
                <w:bCs/>
                <w:sz w:val="26"/>
                <w:szCs w:val="26"/>
              </w:rPr>
              <w:t>Tăng cường quản lý nhà nước về đất đai, khai thác khoáng sản, công tác thu hồi, bồi thường giải phóng mặt bằng; đồng thời có các giải pháp tháo gỡ khó khăn về thủ tục hành chính, đẩy nhanh tiến độ thu hồi đất, giao đất, cho thuê đất cho các tổ chức, doanh nghiệp đầu tư.</w:t>
            </w:r>
          </w:p>
        </w:tc>
        <w:tc>
          <w:tcPr>
            <w:tcW w:w="9356" w:type="dxa"/>
          </w:tcPr>
          <w:p w14:paraId="4CAE7673" w14:textId="77777777" w:rsidR="00CA7F13" w:rsidRPr="00CA7F13" w:rsidRDefault="00CA7F13" w:rsidP="005C4DCF">
            <w:pPr>
              <w:spacing w:before="60" w:after="60"/>
              <w:ind w:firstLine="605"/>
              <w:jc w:val="both"/>
              <w:rPr>
                <w:bCs/>
                <w:iCs/>
                <w:sz w:val="26"/>
                <w:szCs w:val="26"/>
              </w:rPr>
            </w:pPr>
            <w:r w:rsidRPr="00CA7F13">
              <w:rPr>
                <w:bCs/>
                <w:iCs/>
                <w:sz w:val="26"/>
                <w:szCs w:val="26"/>
              </w:rPr>
              <w:t>UBND tỉnh đã chỉ đạo Sở Tài nguyên và Môi trường (nay là Sở Nông nghiệp và Môi trường) chủ trì, phối hợp các cơ quan, đơn vị có liên quan xem xét, giải quyết hoặc tham mưu UBND tỉnh biện pháp giải quyết nội dung kiến nghị của Ban Thường trực Ủy ban MTTQ tỉnh, kết quả cụ thể như sau:</w:t>
            </w:r>
          </w:p>
          <w:p w14:paraId="5C02F94F" w14:textId="77777777" w:rsidR="00CA7F13" w:rsidRPr="00CA7F13" w:rsidRDefault="00CA7F13" w:rsidP="005C4DCF">
            <w:pPr>
              <w:spacing w:before="60" w:after="60"/>
              <w:ind w:firstLine="605"/>
              <w:jc w:val="both"/>
              <w:rPr>
                <w:i/>
                <w:iCs/>
                <w:sz w:val="26"/>
                <w:szCs w:val="26"/>
                <w:lang w:val="vi-VN"/>
              </w:rPr>
            </w:pPr>
            <w:r w:rsidRPr="00CA7F13">
              <w:rPr>
                <w:i/>
                <w:iCs/>
                <w:sz w:val="26"/>
                <w:szCs w:val="26"/>
                <w:lang w:val="vi-VN"/>
              </w:rPr>
              <w:t xml:space="preserve">a) </w:t>
            </w:r>
            <w:r w:rsidRPr="00CA7F13">
              <w:rPr>
                <w:i/>
                <w:iCs/>
                <w:sz w:val="26"/>
                <w:szCs w:val="26"/>
              </w:rPr>
              <w:t>Tăng cường quản lý nhà nước về đất đai, khai thác khoáng sản, công tác thu hồi, bồi thường giải phóng mặt bằng</w:t>
            </w:r>
          </w:p>
          <w:p w14:paraId="79233C3D" w14:textId="77777777" w:rsidR="00CA7F13" w:rsidRPr="00CA7F13" w:rsidRDefault="00CA7F13" w:rsidP="005C4DCF">
            <w:pPr>
              <w:spacing w:before="60" w:after="60"/>
              <w:ind w:firstLine="605"/>
              <w:jc w:val="both"/>
              <w:rPr>
                <w:sz w:val="26"/>
                <w:szCs w:val="26"/>
                <w:lang w:val="vi-VN"/>
              </w:rPr>
            </w:pPr>
            <w:r w:rsidRPr="00CA7F13">
              <w:rPr>
                <w:sz w:val="26"/>
                <w:szCs w:val="26"/>
                <w:lang w:val="vi-VN"/>
              </w:rPr>
              <w:t xml:space="preserve">- </w:t>
            </w:r>
            <w:r w:rsidRPr="00CA7F13">
              <w:rPr>
                <w:sz w:val="26"/>
                <w:szCs w:val="26"/>
              </w:rPr>
              <w:t>Ngày 12/7/2024</w:t>
            </w:r>
            <w:r w:rsidRPr="00CA7F13">
              <w:rPr>
                <w:sz w:val="26"/>
                <w:szCs w:val="26"/>
                <w:lang w:val="vi-VN"/>
              </w:rPr>
              <w:t>,</w:t>
            </w:r>
            <w:r w:rsidRPr="00CA7F13">
              <w:rPr>
                <w:sz w:val="26"/>
                <w:szCs w:val="26"/>
              </w:rPr>
              <w:t xml:space="preserve"> UBND tỉnh đã ban hành Chỉ thị số 07/CT-UBND về triển khai Luật Đất đai 2024 và</w:t>
            </w:r>
            <w:r w:rsidRPr="00CA7F13">
              <w:rPr>
                <w:sz w:val="26"/>
                <w:szCs w:val="26"/>
                <w:lang w:val="vi-VN"/>
              </w:rPr>
              <w:t xml:space="preserve"> </w:t>
            </w:r>
            <w:r w:rsidRPr="00CA7F13">
              <w:rPr>
                <w:sz w:val="26"/>
                <w:szCs w:val="26"/>
              </w:rPr>
              <w:t>tăng cường công tác quản lý đất đai trên địa bàn tỉnh, trong đó:</w:t>
            </w:r>
          </w:p>
          <w:p w14:paraId="57CAE99E" w14:textId="77777777" w:rsidR="00CA7F13" w:rsidRPr="00CA7F13" w:rsidRDefault="00CA7F13" w:rsidP="005C4DCF">
            <w:pPr>
              <w:spacing w:before="60" w:after="60"/>
              <w:ind w:firstLine="605"/>
              <w:jc w:val="both"/>
              <w:rPr>
                <w:sz w:val="26"/>
                <w:szCs w:val="26"/>
              </w:rPr>
            </w:pPr>
            <w:r w:rsidRPr="00CA7F13">
              <w:rPr>
                <w:sz w:val="26"/>
                <w:szCs w:val="26"/>
                <w:lang w:val="vi-VN"/>
              </w:rPr>
              <w:t>+</w:t>
            </w:r>
            <w:r w:rsidRPr="00CA7F13">
              <w:rPr>
                <w:sz w:val="26"/>
                <w:szCs w:val="26"/>
              </w:rPr>
              <w:t xml:space="preserve"> Yêu cầu UBND các huyện, thị</w:t>
            </w:r>
            <w:r w:rsidRPr="00CA7F13">
              <w:rPr>
                <w:sz w:val="26"/>
                <w:szCs w:val="26"/>
                <w:lang w:val="vi-VN"/>
              </w:rPr>
              <w:t xml:space="preserve"> xã, </w:t>
            </w:r>
            <w:r w:rsidRPr="00CA7F13">
              <w:rPr>
                <w:sz w:val="26"/>
                <w:szCs w:val="26"/>
              </w:rPr>
              <w:t xml:space="preserve">thành phố khẩn trương đẩy nhanh tiến độ thu hồi đất, bồi thường, giải phóng mặt bằng trên địa bàn tỉnh, không để kéo dài; tập trung giải quyết dứt điểm các trường hợp vi phạm đất đai trên địa bàn theo tinh thần Chỉ thị số 19 </w:t>
            </w:r>
            <w:r w:rsidRPr="00CA7F13">
              <w:rPr>
                <w:sz w:val="26"/>
                <w:szCs w:val="26"/>
                <w:lang w:val="vi-VN"/>
              </w:rPr>
              <w:t>-</w:t>
            </w:r>
            <w:r w:rsidRPr="00CA7F13">
              <w:rPr>
                <w:sz w:val="26"/>
                <w:szCs w:val="26"/>
              </w:rPr>
              <w:t>CT/TU và các nội dung chỉ đạo của UBND tỉnh.</w:t>
            </w:r>
          </w:p>
          <w:p w14:paraId="1E713D2C" w14:textId="77777777" w:rsidR="00CA7F13" w:rsidRPr="00CA7F13" w:rsidRDefault="00CA7F13" w:rsidP="005C4DCF">
            <w:pPr>
              <w:spacing w:before="60" w:after="60"/>
              <w:ind w:firstLine="605"/>
              <w:jc w:val="both"/>
              <w:rPr>
                <w:sz w:val="26"/>
                <w:szCs w:val="26"/>
                <w:lang w:val="vi-VN"/>
              </w:rPr>
            </w:pPr>
            <w:r w:rsidRPr="00CA7F13">
              <w:rPr>
                <w:sz w:val="26"/>
                <w:szCs w:val="26"/>
                <w:lang w:val="vi-VN"/>
              </w:rPr>
              <w:t>+</w:t>
            </w:r>
            <w:r w:rsidRPr="00CA7F13">
              <w:rPr>
                <w:sz w:val="26"/>
                <w:szCs w:val="26"/>
              </w:rPr>
              <w:t xml:space="preserve"> Sở Tài nguyên và Môi trường </w:t>
            </w:r>
            <w:r w:rsidRPr="00CA7F13">
              <w:rPr>
                <w:sz w:val="26"/>
                <w:szCs w:val="26"/>
                <w:lang w:val="vi-VN"/>
              </w:rPr>
              <w:t xml:space="preserve">(nay là Sở Nông nghiệp và Môi trường) </w:t>
            </w:r>
            <w:r w:rsidRPr="00CA7F13">
              <w:rPr>
                <w:sz w:val="26"/>
                <w:szCs w:val="26"/>
              </w:rPr>
              <w:t>chủ trì, phối hợp với Sở Kế hoạch và Đầu tư</w:t>
            </w:r>
            <w:r w:rsidRPr="00CA7F13">
              <w:rPr>
                <w:sz w:val="26"/>
                <w:szCs w:val="26"/>
                <w:lang w:val="vi-VN"/>
              </w:rPr>
              <w:t xml:space="preserve"> (nay là Sở Tài chính)</w:t>
            </w:r>
            <w:r w:rsidRPr="00CA7F13">
              <w:rPr>
                <w:sz w:val="26"/>
                <w:szCs w:val="26"/>
              </w:rPr>
              <w:t>, các cơ quan có liên quan, UBND các huyện, thị xã, thành phố thường xuyên rà soát, đôn đốc để thu hồi hoặc xử lý theo quy định pháp luật đất đai 2024 đối với các dự án không hoặc chậm đưa đất vào sử dụng tránh lãng phí tài nguyên đất đai</w:t>
            </w:r>
            <w:r w:rsidRPr="00CA7F13">
              <w:rPr>
                <w:sz w:val="26"/>
                <w:szCs w:val="26"/>
                <w:lang w:val="vi-VN"/>
              </w:rPr>
              <w:t>.</w:t>
            </w:r>
          </w:p>
          <w:p w14:paraId="7944949A" w14:textId="77777777" w:rsidR="00CA7F13" w:rsidRPr="00CA7F13" w:rsidRDefault="00CA7F13" w:rsidP="005C4DCF">
            <w:pPr>
              <w:spacing w:before="60" w:after="60"/>
              <w:ind w:firstLine="605"/>
              <w:jc w:val="both"/>
              <w:rPr>
                <w:sz w:val="26"/>
                <w:szCs w:val="26"/>
                <w:lang w:val="vi-VN"/>
              </w:rPr>
            </w:pPr>
            <w:r w:rsidRPr="00CA7F13">
              <w:rPr>
                <w:sz w:val="26"/>
                <w:szCs w:val="26"/>
                <w:lang w:val="vi-VN"/>
              </w:rPr>
              <w:t>+</w:t>
            </w:r>
            <w:r w:rsidRPr="00CA7F13">
              <w:rPr>
                <w:sz w:val="26"/>
                <w:szCs w:val="26"/>
              </w:rPr>
              <w:t xml:space="preserve"> Các Sở, cơ quan tiếp tục thực hiện nghiêm việc thẩm định, giải quyết hồ sơ, thủ tục về đất đai theo tinh thần chỉ đạo của UBND tỉnh tại Chỉ thị số 15/CT- UBND ngày 13/12/2021.</w:t>
            </w:r>
          </w:p>
          <w:p w14:paraId="5705CD0F" w14:textId="77777777" w:rsidR="00CA7F13" w:rsidRPr="00CA7F13" w:rsidRDefault="00CA7F13" w:rsidP="005C4DCF">
            <w:pPr>
              <w:spacing w:before="60" w:after="60"/>
              <w:ind w:firstLine="605"/>
              <w:jc w:val="both"/>
              <w:rPr>
                <w:sz w:val="26"/>
                <w:szCs w:val="26"/>
                <w:lang w:val="vi-VN"/>
              </w:rPr>
            </w:pPr>
            <w:r w:rsidRPr="00CA7F13">
              <w:rPr>
                <w:sz w:val="26"/>
                <w:szCs w:val="26"/>
                <w:lang w:val="vi-VN"/>
              </w:rPr>
              <w:t xml:space="preserve">- Hiện nay, Sở Nông nghiệp và Môi trường đang tiếp tục tham mưu UBND tỉnh chỉ đạo các địa phương thực hiện nghiêm túc </w:t>
            </w:r>
            <w:r w:rsidRPr="00CA7F13">
              <w:rPr>
                <w:sz w:val="26"/>
                <w:szCs w:val="26"/>
              </w:rPr>
              <w:t>Chỉ thị số 07/CT-UBND</w:t>
            </w:r>
            <w:r w:rsidRPr="00CA7F13">
              <w:rPr>
                <w:sz w:val="26"/>
                <w:szCs w:val="26"/>
                <w:lang w:val="vi-VN"/>
              </w:rPr>
              <w:t xml:space="preserve"> ngày 12/07/2024 cúa UBND tỉnh.</w:t>
            </w:r>
          </w:p>
          <w:p w14:paraId="14988EB2" w14:textId="77777777" w:rsidR="00CA7F13" w:rsidRPr="00CA7F13" w:rsidRDefault="00CA7F13" w:rsidP="005C4DCF">
            <w:pPr>
              <w:spacing w:before="60" w:after="60"/>
              <w:ind w:firstLine="605"/>
              <w:jc w:val="both"/>
              <w:rPr>
                <w:i/>
                <w:iCs/>
                <w:sz w:val="26"/>
                <w:szCs w:val="26"/>
                <w:lang w:val="vi-VN"/>
              </w:rPr>
            </w:pPr>
            <w:r w:rsidRPr="00CA7F13">
              <w:rPr>
                <w:i/>
                <w:iCs/>
                <w:sz w:val="26"/>
                <w:szCs w:val="26"/>
              </w:rPr>
              <w:t>b</w:t>
            </w:r>
            <w:r w:rsidRPr="00CA7F13">
              <w:rPr>
                <w:i/>
                <w:iCs/>
                <w:sz w:val="26"/>
                <w:szCs w:val="26"/>
                <w:lang w:val="vi-VN"/>
              </w:rPr>
              <w:t>) Gi</w:t>
            </w:r>
            <w:r w:rsidRPr="00CA7F13">
              <w:rPr>
                <w:i/>
                <w:iCs/>
                <w:sz w:val="26"/>
                <w:szCs w:val="26"/>
              </w:rPr>
              <w:t>ải pháp tháo gỡ khó khăn về thủ tục hành chính, đẩy nhanh tiến độ thu hồi đất, giao đất, cho thuê đất cho các tổ chức, doanh nghiệp đầu tư</w:t>
            </w:r>
          </w:p>
          <w:p w14:paraId="3BA6F8C3" w14:textId="77777777" w:rsidR="00CA7F13" w:rsidRPr="00CA7F13" w:rsidRDefault="00CA7F13" w:rsidP="005C4DCF">
            <w:pPr>
              <w:spacing w:before="60" w:after="60"/>
              <w:ind w:firstLine="605"/>
              <w:jc w:val="both"/>
              <w:rPr>
                <w:sz w:val="26"/>
                <w:szCs w:val="26"/>
              </w:rPr>
            </w:pPr>
            <w:r w:rsidRPr="00CA7F13">
              <w:rPr>
                <w:sz w:val="26"/>
                <w:szCs w:val="26"/>
                <w:lang w:val="vi-VN"/>
              </w:rPr>
              <w:t xml:space="preserve">- </w:t>
            </w:r>
            <w:r w:rsidRPr="00CA7F13">
              <w:rPr>
                <w:sz w:val="26"/>
                <w:szCs w:val="26"/>
              </w:rPr>
              <w:t xml:space="preserve">Để tháo gỡ khó khăn về thủ tục hành chính, đẩy nhanh tiến độ thu hồi đất, giao đất, cho thuê đất cho các tổ chức, doanh nghiệp đầu tư, UBND tỉnh đã ban hành Quyết </w:t>
            </w:r>
            <w:r w:rsidRPr="00CA7F13">
              <w:rPr>
                <w:sz w:val="26"/>
                <w:szCs w:val="26"/>
              </w:rPr>
              <w:lastRenderedPageBreak/>
              <w:t>định số 1428/QĐ-UBND ngày 31/8/2024 về việc công bố Danh mục thủ tục hành chính trong lĩnh vực đất đai thuộc phạm vi chức năng quản lý nhà nước của Sở Tài nguyên và Môi trường.</w:t>
            </w:r>
          </w:p>
          <w:p w14:paraId="0FA2303A" w14:textId="77777777" w:rsidR="00CA7F13" w:rsidRPr="00CA7F13" w:rsidRDefault="00CA7F13" w:rsidP="005C4DCF">
            <w:pPr>
              <w:spacing w:before="60" w:after="60"/>
              <w:ind w:firstLine="605"/>
              <w:jc w:val="both"/>
              <w:rPr>
                <w:sz w:val="26"/>
                <w:szCs w:val="26"/>
                <w:lang w:val="vi-VN"/>
              </w:rPr>
            </w:pPr>
            <w:r w:rsidRPr="00CA7F13">
              <w:rPr>
                <w:sz w:val="26"/>
                <w:szCs w:val="26"/>
                <w:lang w:val="vi-VN"/>
              </w:rPr>
              <w:t xml:space="preserve">- </w:t>
            </w:r>
            <w:r w:rsidRPr="00CA7F13">
              <w:rPr>
                <w:sz w:val="26"/>
                <w:szCs w:val="26"/>
              </w:rPr>
              <w:t>Để tháo gỡ khó khăn khi thực hiện Luật đất đai 2024</w:t>
            </w:r>
            <w:r w:rsidRPr="00CA7F13">
              <w:rPr>
                <w:sz w:val="26"/>
                <w:szCs w:val="26"/>
                <w:lang w:val="vi-VN"/>
              </w:rPr>
              <w:t>; ngày 28/10/2024</w:t>
            </w:r>
            <w:r w:rsidRPr="00CA7F13">
              <w:rPr>
                <w:sz w:val="26"/>
                <w:szCs w:val="26"/>
              </w:rPr>
              <w:t xml:space="preserve"> UBND tỉnh đã có Công văn số 6152/UBND-TN về việc hướng dẫn tháo gỡ một số khó khăn, vướng mắc khi thực hiện Luật Đất đai năm 2024 gửi Bộ Tài nguyên và Môi trường. Ngày 14</w:t>
            </w:r>
            <w:r w:rsidRPr="00CA7F13">
              <w:rPr>
                <w:sz w:val="26"/>
                <w:szCs w:val="26"/>
                <w:lang w:val="vi-VN"/>
              </w:rPr>
              <w:t xml:space="preserve">/01/2025, </w:t>
            </w:r>
            <w:r w:rsidRPr="00CA7F13">
              <w:rPr>
                <w:sz w:val="26"/>
                <w:szCs w:val="26"/>
              </w:rPr>
              <w:t>Bộ Tài nguyên và Môi trường đã có Công văn số 277/BTNMT-QHPTTNĐ về việc hướng dẫn tháo gỡ một số khó khăn, vướng mắc khi thực hiện Luật Đất đai năm 2024 (trong 02 tháng đầu năm 2025, UBND tỉnh đã giao đất cho 07 dự án khu dân cư, khu đô thị với tổng diện tích 67,2 ha)</w:t>
            </w:r>
            <w:r w:rsidRPr="00CA7F13">
              <w:rPr>
                <w:sz w:val="26"/>
                <w:szCs w:val="26"/>
                <w:lang w:val="vi-VN"/>
              </w:rPr>
              <w:t>.</w:t>
            </w:r>
          </w:p>
          <w:p w14:paraId="5C20DD50" w14:textId="77777777" w:rsidR="00CA7F13" w:rsidRPr="00CA7F13" w:rsidRDefault="00CA7F13" w:rsidP="005C4DCF">
            <w:pPr>
              <w:spacing w:before="60" w:after="60"/>
              <w:ind w:firstLine="605"/>
              <w:jc w:val="both"/>
              <w:rPr>
                <w:sz w:val="26"/>
                <w:szCs w:val="26"/>
              </w:rPr>
            </w:pPr>
            <w:r w:rsidRPr="00CA7F13">
              <w:rPr>
                <w:sz w:val="26"/>
                <w:szCs w:val="26"/>
                <w:lang w:val="vi-VN"/>
              </w:rPr>
              <w:t xml:space="preserve">- </w:t>
            </w:r>
            <w:r w:rsidRPr="00CA7F13">
              <w:rPr>
                <w:sz w:val="26"/>
                <w:szCs w:val="26"/>
              </w:rPr>
              <w:t>Đối với vướng mắc của các dự án khu dân cư, khu đô thị sử dụng vốn NSNN khi thực hiện Luật Nhà ở 2023</w:t>
            </w:r>
            <w:r w:rsidRPr="00CA7F13">
              <w:rPr>
                <w:sz w:val="26"/>
                <w:szCs w:val="26"/>
                <w:lang w:val="vi-VN"/>
              </w:rPr>
              <w:t>; ngày 24/2/2025</w:t>
            </w:r>
            <w:r w:rsidRPr="00CA7F13">
              <w:rPr>
                <w:sz w:val="26"/>
                <w:szCs w:val="26"/>
              </w:rPr>
              <w:t xml:space="preserve">, Sở Tài nguyên và Môi trường </w:t>
            </w:r>
            <w:r w:rsidRPr="00CA7F13">
              <w:rPr>
                <w:sz w:val="26"/>
                <w:szCs w:val="26"/>
                <w:lang w:val="vi-VN"/>
              </w:rPr>
              <w:t xml:space="preserve">(nay là Sở Nông nghiệp và Môi trường) </w:t>
            </w:r>
            <w:r w:rsidRPr="00CA7F13">
              <w:rPr>
                <w:sz w:val="26"/>
                <w:szCs w:val="26"/>
              </w:rPr>
              <w:t>đã có Báo cáo số 66/BC-STNMT về công tác chuyển mục đích sử dụng đất, giao đất thực hiện các dự án khu dân cư sử dụng vốn NSNN</w:t>
            </w:r>
            <w:r w:rsidRPr="00CA7F13">
              <w:rPr>
                <w:sz w:val="26"/>
                <w:szCs w:val="26"/>
                <w:lang w:val="vi-VN"/>
              </w:rPr>
              <w:t xml:space="preserve"> </w:t>
            </w:r>
            <w:r w:rsidRPr="00CA7F13">
              <w:rPr>
                <w:sz w:val="26"/>
                <w:szCs w:val="26"/>
              </w:rPr>
              <w:t>để báo cáo Ban cán sự Đảng UBND tỉnh cán sự Đảng UBND tỉnh tại Hội nghị giao ban ngày 24/02/2025.</w:t>
            </w:r>
          </w:p>
        </w:tc>
      </w:tr>
    </w:tbl>
    <w:p w14:paraId="06C4D767" w14:textId="1932B984" w:rsidR="00CA7F13" w:rsidRDefault="00CA7F13" w:rsidP="00757A24">
      <w:pPr>
        <w:spacing w:before="60" w:after="60"/>
        <w:jc w:val="center"/>
        <w:rPr>
          <w:sz w:val="26"/>
          <w:szCs w:val="26"/>
        </w:rPr>
      </w:pPr>
    </w:p>
    <w:p w14:paraId="4A03AF9B" w14:textId="54B632DE" w:rsidR="00CA7F13" w:rsidRDefault="00CA7F13" w:rsidP="00757A24">
      <w:pPr>
        <w:spacing w:before="60" w:after="60"/>
        <w:jc w:val="center"/>
        <w:rPr>
          <w:sz w:val="26"/>
          <w:szCs w:val="26"/>
        </w:rPr>
      </w:pPr>
    </w:p>
    <w:p w14:paraId="6CCA6149" w14:textId="2C595A55" w:rsidR="00CA7F13" w:rsidRDefault="00CA7F13" w:rsidP="00757A24">
      <w:pPr>
        <w:spacing w:before="60" w:after="60"/>
        <w:jc w:val="center"/>
        <w:rPr>
          <w:sz w:val="26"/>
          <w:szCs w:val="26"/>
        </w:rPr>
      </w:pPr>
    </w:p>
    <w:p w14:paraId="7AEB293F" w14:textId="2A9A42D6" w:rsidR="00CA7F13" w:rsidRDefault="00CA7F13" w:rsidP="00757A24">
      <w:pPr>
        <w:spacing w:before="60" w:after="60"/>
        <w:jc w:val="center"/>
        <w:rPr>
          <w:sz w:val="26"/>
          <w:szCs w:val="26"/>
        </w:rPr>
      </w:pPr>
    </w:p>
    <w:p w14:paraId="7B02C369" w14:textId="0498019E" w:rsidR="00CA7F13" w:rsidRDefault="00CA7F13" w:rsidP="00757A24">
      <w:pPr>
        <w:spacing w:before="60" w:after="60"/>
        <w:jc w:val="center"/>
        <w:rPr>
          <w:sz w:val="26"/>
          <w:szCs w:val="26"/>
        </w:rPr>
      </w:pPr>
    </w:p>
    <w:p w14:paraId="5682C331" w14:textId="77777777" w:rsidR="00CA7F13" w:rsidRPr="00CA7F13" w:rsidRDefault="00CA7F13" w:rsidP="00757A24">
      <w:pPr>
        <w:spacing w:before="60" w:after="60"/>
        <w:jc w:val="center"/>
        <w:rPr>
          <w:sz w:val="26"/>
          <w:szCs w:val="26"/>
        </w:rPr>
      </w:pPr>
    </w:p>
    <w:p w14:paraId="13375D67" w14:textId="1B4C9F85" w:rsidR="00BA3C2A" w:rsidRPr="00281B08" w:rsidRDefault="00BA3C2A" w:rsidP="000F476B">
      <w:pPr>
        <w:spacing w:before="60" w:after="60"/>
        <w:ind w:firstLine="720"/>
        <w:rPr>
          <w:b/>
          <w:lang w:val="nl-NL"/>
        </w:rPr>
      </w:pPr>
    </w:p>
    <w:p w14:paraId="520CF954" w14:textId="22DD2B29" w:rsidR="00927717" w:rsidRPr="00281B08" w:rsidRDefault="00927717" w:rsidP="001252F2">
      <w:pPr>
        <w:spacing w:before="60" w:after="60"/>
        <w:jc w:val="center"/>
        <w:rPr>
          <w:lang w:val="nl-NL"/>
        </w:rPr>
      </w:pPr>
    </w:p>
    <w:sectPr w:rsidR="00927717" w:rsidRPr="00281B08" w:rsidSect="00BC3DB5">
      <w:headerReference w:type="default" r:id="rId8"/>
      <w:footerReference w:type="even" r:id="rId9"/>
      <w:footerReference w:type="default" r:id="rId10"/>
      <w:pgSz w:w="16840" w:h="11907" w:orient="landscape" w:code="9"/>
      <w:pgMar w:top="720" w:right="720" w:bottom="720" w:left="1008" w:header="288"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7165A" w14:textId="77777777" w:rsidR="000575D1" w:rsidRDefault="000575D1">
      <w:r>
        <w:separator/>
      </w:r>
    </w:p>
  </w:endnote>
  <w:endnote w:type="continuationSeparator" w:id="0">
    <w:p w14:paraId="4F62CAD1" w14:textId="77777777" w:rsidR="000575D1" w:rsidRDefault="0005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205B" w:usb2="00000002"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5FEAE" w14:textId="77777777" w:rsidR="00E62877" w:rsidRDefault="00E62877" w:rsidP="00DA4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9821BD" w14:textId="77777777" w:rsidR="00E62877" w:rsidRDefault="00E62877" w:rsidP="00DA494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AE69" w14:textId="77777777" w:rsidR="00E62877" w:rsidRDefault="00E62877" w:rsidP="00DA494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FAFA3" w14:textId="77777777" w:rsidR="000575D1" w:rsidRDefault="000575D1">
      <w:r>
        <w:separator/>
      </w:r>
    </w:p>
  </w:footnote>
  <w:footnote w:type="continuationSeparator" w:id="0">
    <w:p w14:paraId="4FC9ABC2" w14:textId="77777777" w:rsidR="000575D1" w:rsidRDefault="000575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558845"/>
      <w:docPartObj>
        <w:docPartGallery w:val="Page Numbers (Top of Page)"/>
        <w:docPartUnique/>
      </w:docPartObj>
    </w:sdtPr>
    <w:sdtEndPr>
      <w:rPr>
        <w:noProof/>
      </w:rPr>
    </w:sdtEndPr>
    <w:sdtContent>
      <w:p w14:paraId="3F9400FD" w14:textId="63C92F67" w:rsidR="00E62877" w:rsidRDefault="00E62877">
        <w:pPr>
          <w:pStyle w:val="Header"/>
          <w:jc w:val="center"/>
        </w:pPr>
        <w:r>
          <w:fldChar w:fldCharType="begin"/>
        </w:r>
        <w:r>
          <w:instrText xml:space="preserve"> PAGE   \* MERGEFORMAT </w:instrText>
        </w:r>
        <w:r>
          <w:fldChar w:fldCharType="separate"/>
        </w:r>
        <w:r w:rsidR="006C165C">
          <w:rPr>
            <w:noProof/>
          </w:rPr>
          <w:t>6</w:t>
        </w:r>
        <w:r>
          <w:rPr>
            <w:noProof/>
          </w:rPr>
          <w:fldChar w:fldCharType="end"/>
        </w:r>
      </w:p>
    </w:sdtContent>
  </w:sdt>
  <w:p w14:paraId="2BF6B344" w14:textId="77777777" w:rsidR="00E62877" w:rsidRDefault="00E628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87B59"/>
    <w:multiLevelType w:val="hybridMultilevel"/>
    <w:tmpl w:val="D19CDAA2"/>
    <w:lvl w:ilvl="0" w:tplc="ED52EB7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A8277EF"/>
    <w:multiLevelType w:val="hybridMultilevel"/>
    <w:tmpl w:val="6030839C"/>
    <w:lvl w:ilvl="0" w:tplc="AED6F338">
      <w:start w:val="1"/>
      <w:numFmt w:val="upperRoman"/>
      <w:lvlText w:val="%1."/>
      <w:lvlJc w:val="left"/>
      <w:pPr>
        <w:ind w:left="1080" w:hanging="720"/>
      </w:pPr>
      <w:rPr>
        <w:rFonts w:hint="default"/>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47FBB"/>
    <w:multiLevelType w:val="hybridMultilevel"/>
    <w:tmpl w:val="4374245A"/>
    <w:lvl w:ilvl="0" w:tplc="FFE49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28704B7"/>
    <w:multiLevelType w:val="hybridMultilevel"/>
    <w:tmpl w:val="BD444FE8"/>
    <w:lvl w:ilvl="0" w:tplc="951836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17"/>
    <w:rsid w:val="00004D61"/>
    <w:rsid w:val="000056D3"/>
    <w:rsid w:val="00007EC6"/>
    <w:rsid w:val="00010687"/>
    <w:rsid w:val="00014505"/>
    <w:rsid w:val="00020DE4"/>
    <w:rsid w:val="0002293D"/>
    <w:rsid w:val="0002686E"/>
    <w:rsid w:val="0003279A"/>
    <w:rsid w:val="000338BE"/>
    <w:rsid w:val="00037AF9"/>
    <w:rsid w:val="00042763"/>
    <w:rsid w:val="00042A75"/>
    <w:rsid w:val="00042AA4"/>
    <w:rsid w:val="00045535"/>
    <w:rsid w:val="00046AAA"/>
    <w:rsid w:val="00052BB3"/>
    <w:rsid w:val="000544F7"/>
    <w:rsid w:val="00054527"/>
    <w:rsid w:val="00056ACA"/>
    <w:rsid w:val="000575D1"/>
    <w:rsid w:val="00060FE4"/>
    <w:rsid w:val="00064E42"/>
    <w:rsid w:val="00066F40"/>
    <w:rsid w:val="00076C7C"/>
    <w:rsid w:val="000803D7"/>
    <w:rsid w:val="00081AC7"/>
    <w:rsid w:val="0008773F"/>
    <w:rsid w:val="000908DC"/>
    <w:rsid w:val="000959DE"/>
    <w:rsid w:val="00097B15"/>
    <w:rsid w:val="000A16E0"/>
    <w:rsid w:val="000A2C57"/>
    <w:rsid w:val="000A3DD6"/>
    <w:rsid w:val="000A56AA"/>
    <w:rsid w:val="000A58E1"/>
    <w:rsid w:val="000A7B51"/>
    <w:rsid w:val="000B22DF"/>
    <w:rsid w:val="000B2FFB"/>
    <w:rsid w:val="000B4C9F"/>
    <w:rsid w:val="000C16BE"/>
    <w:rsid w:val="000C3186"/>
    <w:rsid w:val="000C5B72"/>
    <w:rsid w:val="000C5C79"/>
    <w:rsid w:val="000D6E9C"/>
    <w:rsid w:val="000E0756"/>
    <w:rsid w:val="000E52BF"/>
    <w:rsid w:val="000F0EA5"/>
    <w:rsid w:val="000F237E"/>
    <w:rsid w:val="000F364F"/>
    <w:rsid w:val="000F476B"/>
    <w:rsid w:val="000F5C25"/>
    <w:rsid w:val="000F6460"/>
    <w:rsid w:val="000F7C81"/>
    <w:rsid w:val="001026A7"/>
    <w:rsid w:val="00102E81"/>
    <w:rsid w:val="001064D5"/>
    <w:rsid w:val="0010704D"/>
    <w:rsid w:val="00113E7A"/>
    <w:rsid w:val="0011660D"/>
    <w:rsid w:val="00117E76"/>
    <w:rsid w:val="00121873"/>
    <w:rsid w:val="00121E20"/>
    <w:rsid w:val="00122573"/>
    <w:rsid w:val="00124E8A"/>
    <w:rsid w:val="001252F2"/>
    <w:rsid w:val="001275CB"/>
    <w:rsid w:val="00127F99"/>
    <w:rsid w:val="00141632"/>
    <w:rsid w:val="00145228"/>
    <w:rsid w:val="00145B73"/>
    <w:rsid w:val="00151C2B"/>
    <w:rsid w:val="00152338"/>
    <w:rsid w:val="00163ADB"/>
    <w:rsid w:val="001649C1"/>
    <w:rsid w:val="001671F6"/>
    <w:rsid w:val="00167E08"/>
    <w:rsid w:val="00170CD9"/>
    <w:rsid w:val="00172463"/>
    <w:rsid w:val="00173618"/>
    <w:rsid w:val="00175CE9"/>
    <w:rsid w:val="00180455"/>
    <w:rsid w:val="001844B4"/>
    <w:rsid w:val="00190598"/>
    <w:rsid w:val="001947D9"/>
    <w:rsid w:val="00194C3B"/>
    <w:rsid w:val="00196DEA"/>
    <w:rsid w:val="001970C1"/>
    <w:rsid w:val="001A732F"/>
    <w:rsid w:val="001A7ABF"/>
    <w:rsid w:val="001B3252"/>
    <w:rsid w:val="001B6DA7"/>
    <w:rsid w:val="001B7332"/>
    <w:rsid w:val="001B7F82"/>
    <w:rsid w:val="001C1FB8"/>
    <w:rsid w:val="001C26B1"/>
    <w:rsid w:val="001C488A"/>
    <w:rsid w:val="001D5B39"/>
    <w:rsid w:val="001E3876"/>
    <w:rsid w:val="001E4F50"/>
    <w:rsid w:val="001E54C5"/>
    <w:rsid w:val="001E7B9B"/>
    <w:rsid w:val="001F118E"/>
    <w:rsid w:val="001F3161"/>
    <w:rsid w:val="001F5E18"/>
    <w:rsid w:val="00200FE8"/>
    <w:rsid w:val="0020237B"/>
    <w:rsid w:val="00202C7C"/>
    <w:rsid w:val="0020320A"/>
    <w:rsid w:val="0020363F"/>
    <w:rsid w:val="002070CC"/>
    <w:rsid w:val="0020766B"/>
    <w:rsid w:val="0021100B"/>
    <w:rsid w:val="00213514"/>
    <w:rsid w:val="0023135E"/>
    <w:rsid w:val="0023585D"/>
    <w:rsid w:val="00235DC9"/>
    <w:rsid w:val="002426A1"/>
    <w:rsid w:val="00245C21"/>
    <w:rsid w:val="00246DB7"/>
    <w:rsid w:val="0025206B"/>
    <w:rsid w:val="00252872"/>
    <w:rsid w:val="00254656"/>
    <w:rsid w:val="002551FA"/>
    <w:rsid w:val="00256F70"/>
    <w:rsid w:val="00266371"/>
    <w:rsid w:val="00274055"/>
    <w:rsid w:val="00275220"/>
    <w:rsid w:val="002753EF"/>
    <w:rsid w:val="002771F2"/>
    <w:rsid w:val="00281B08"/>
    <w:rsid w:val="00286F67"/>
    <w:rsid w:val="002936EE"/>
    <w:rsid w:val="00296B35"/>
    <w:rsid w:val="002A747E"/>
    <w:rsid w:val="002B0A00"/>
    <w:rsid w:val="002B58F8"/>
    <w:rsid w:val="002B6D74"/>
    <w:rsid w:val="002C68C2"/>
    <w:rsid w:val="002C7B61"/>
    <w:rsid w:val="002D1F64"/>
    <w:rsid w:val="002D4B41"/>
    <w:rsid w:val="002E4F2C"/>
    <w:rsid w:val="002F0421"/>
    <w:rsid w:val="002F1784"/>
    <w:rsid w:val="002F2524"/>
    <w:rsid w:val="002F55B9"/>
    <w:rsid w:val="002F63BC"/>
    <w:rsid w:val="002F6E18"/>
    <w:rsid w:val="00300137"/>
    <w:rsid w:val="0030068A"/>
    <w:rsid w:val="00311ADC"/>
    <w:rsid w:val="003129E3"/>
    <w:rsid w:val="0031686B"/>
    <w:rsid w:val="00321FF2"/>
    <w:rsid w:val="00325583"/>
    <w:rsid w:val="00325E36"/>
    <w:rsid w:val="00332241"/>
    <w:rsid w:val="00335767"/>
    <w:rsid w:val="00335A5A"/>
    <w:rsid w:val="003364FE"/>
    <w:rsid w:val="003411F2"/>
    <w:rsid w:val="003476B9"/>
    <w:rsid w:val="00350C1D"/>
    <w:rsid w:val="00353940"/>
    <w:rsid w:val="0035447B"/>
    <w:rsid w:val="0036669A"/>
    <w:rsid w:val="003713D5"/>
    <w:rsid w:val="003767C0"/>
    <w:rsid w:val="0037734C"/>
    <w:rsid w:val="00385DE4"/>
    <w:rsid w:val="003870BF"/>
    <w:rsid w:val="00396510"/>
    <w:rsid w:val="00396C20"/>
    <w:rsid w:val="003A3A6A"/>
    <w:rsid w:val="003A4690"/>
    <w:rsid w:val="003B1360"/>
    <w:rsid w:val="003B6A57"/>
    <w:rsid w:val="003B7D3B"/>
    <w:rsid w:val="003C1190"/>
    <w:rsid w:val="003C1819"/>
    <w:rsid w:val="003C1EB1"/>
    <w:rsid w:val="003C6107"/>
    <w:rsid w:val="003C7495"/>
    <w:rsid w:val="003C7FDC"/>
    <w:rsid w:val="003D33AC"/>
    <w:rsid w:val="003D364E"/>
    <w:rsid w:val="003D4380"/>
    <w:rsid w:val="003E0BF0"/>
    <w:rsid w:val="003E28EC"/>
    <w:rsid w:val="003E36AC"/>
    <w:rsid w:val="003E7C36"/>
    <w:rsid w:val="003F0E46"/>
    <w:rsid w:val="003F34F6"/>
    <w:rsid w:val="003F4D94"/>
    <w:rsid w:val="003F5E6D"/>
    <w:rsid w:val="003F5EB1"/>
    <w:rsid w:val="003F7E52"/>
    <w:rsid w:val="00401B98"/>
    <w:rsid w:val="00403263"/>
    <w:rsid w:val="00403ED0"/>
    <w:rsid w:val="004119BC"/>
    <w:rsid w:val="00420538"/>
    <w:rsid w:val="0042133C"/>
    <w:rsid w:val="004220F3"/>
    <w:rsid w:val="004229C9"/>
    <w:rsid w:val="00423C46"/>
    <w:rsid w:val="00426C3A"/>
    <w:rsid w:val="004339FF"/>
    <w:rsid w:val="00434F8F"/>
    <w:rsid w:val="00436594"/>
    <w:rsid w:val="00436695"/>
    <w:rsid w:val="0044085B"/>
    <w:rsid w:val="00442B4E"/>
    <w:rsid w:val="0044454F"/>
    <w:rsid w:val="004563DC"/>
    <w:rsid w:val="0045683F"/>
    <w:rsid w:val="004611DD"/>
    <w:rsid w:val="00461501"/>
    <w:rsid w:val="00467F37"/>
    <w:rsid w:val="00470F28"/>
    <w:rsid w:val="004722F8"/>
    <w:rsid w:val="004804DC"/>
    <w:rsid w:val="00480E76"/>
    <w:rsid w:val="0048245C"/>
    <w:rsid w:val="004827C6"/>
    <w:rsid w:val="00483174"/>
    <w:rsid w:val="004837EC"/>
    <w:rsid w:val="00484527"/>
    <w:rsid w:val="004851A3"/>
    <w:rsid w:val="004926D1"/>
    <w:rsid w:val="00492FB5"/>
    <w:rsid w:val="00497C73"/>
    <w:rsid w:val="004A191A"/>
    <w:rsid w:val="004A1C74"/>
    <w:rsid w:val="004A3FDC"/>
    <w:rsid w:val="004A5AB9"/>
    <w:rsid w:val="004A7CEB"/>
    <w:rsid w:val="004B1978"/>
    <w:rsid w:val="004C0E07"/>
    <w:rsid w:val="004C3146"/>
    <w:rsid w:val="004C4946"/>
    <w:rsid w:val="004C59C1"/>
    <w:rsid w:val="004C741F"/>
    <w:rsid w:val="004D5403"/>
    <w:rsid w:val="004D568E"/>
    <w:rsid w:val="004F22FD"/>
    <w:rsid w:val="004F2710"/>
    <w:rsid w:val="004F3A06"/>
    <w:rsid w:val="004F3C3E"/>
    <w:rsid w:val="004F47CA"/>
    <w:rsid w:val="004F65E8"/>
    <w:rsid w:val="004F6801"/>
    <w:rsid w:val="004F7A9E"/>
    <w:rsid w:val="00502D8A"/>
    <w:rsid w:val="005107F4"/>
    <w:rsid w:val="00511024"/>
    <w:rsid w:val="00513F84"/>
    <w:rsid w:val="00514EEC"/>
    <w:rsid w:val="00515821"/>
    <w:rsid w:val="00516050"/>
    <w:rsid w:val="00525C1F"/>
    <w:rsid w:val="005335FB"/>
    <w:rsid w:val="005378F2"/>
    <w:rsid w:val="005401A3"/>
    <w:rsid w:val="0054595B"/>
    <w:rsid w:val="00546257"/>
    <w:rsid w:val="005503CA"/>
    <w:rsid w:val="00550560"/>
    <w:rsid w:val="0055203D"/>
    <w:rsid w:val="00552DEB"/>
    <w:rsid w:val="00555813"/>
    <w:rsid w:val="005558B7"/>
    <w:rsid w:val="00560A5A"/>
    <w:rsid w:val="00560C1C"/>
    <w:rsid w:val="00562FBB"/>
    <w:rsid w:val="005636D6"/>
    <w:rsid w:val="0056388D"/>
    <w:rsid w:val="00564709"/>
    <w:rsid w:val="005650F0"/>
    <w:rsid w:val="005718EF"/>
    <w:rsid w:val="00575261"/>
    <w:rsid w:val="00576427"/>
    <w:rsid w:val="00576AEA"/>
    <w:rsid w:val="0058149A"/>
    <w:rsid w:val="00592A4E"/>
    <w:rsid w:val="00592DE5"/>
    <w:rsid w:val="005973A9"/>
    <w:rsid w:val="005A102D"/>
    <w:rsid w:val="005A5995"/>
    <w:rsid w:val="005B0000"/>
    <w:rsid w:val="005B1983"/>
    <w:rsid w:val="005B4873"/>
    <w:rsid w:val="005B559F"/>
    <w:rsid w:val="005B5E6D"/>
    <w:rsid w:val="005C4DCF"/>
    <w:rsid w:val="005D120E"/>
    <w:rsid w:val="005D3D2C"/>
    <w:rsid w:val="005D4E1B"/>
    <w:rsid w:val="005D5588"/>
    <w:rsid w:val="005E0A40"/>
    <w:rsid w:val="005E18DB"/>
    <w:rsid w:val="005E1A0C"/>
    <w:rsid w:val="005E1C2C"/>
    <w:rsid w:val="005E6302"/>
    <w:rsid w:val="005E6743"/>
    <w:rsid w:val="005F284E"/>
    <w:rsid w:val="005F72ED"/>
    <w:rsid w:val="0060033A"/>
    <w:rsid w:val="00600D1B"/>
    <w:rsid w:val="00601EC5"/>
    <w:rsid w:val="00605D8E"/>
    <w:rsid w:val="0061018C"/>
    <w:rsid w:val="0061074F"/>
    <w:rsid w:val="00616CD6"/>
    <w:rsid w:val="0061792C"/>
    <w:rsid w:val="006200CD"/>
    <w:rsid w:val="00621108"/>
    <w:rsid w:val="00622309"/>
    <w:rsid w:val="0062744F"/>
    <w:rsid w:val="006276AD"/>
    <w:rsid w:val="0063009E"/>
    <w:rsid w:val="006351FC"/>
    <w:rsid w:val="006402E3"/>
    <w:rsid w:val="00641A3B"/>
    <w:rsid w:val="00642798"/>
    <w:rsid w:val="00647036"/>
    <w:rsid w:val="0064713F"/>
    <w:rsid w:val="00651B6A"/>
    <w:rsid w:val="00651B6B"/>
    <w:rsid w:val="006563F6"/>
    <w:rsid w:val="0065762F"/>
    <w:rsid w:val="00660F8C"/>
    <w:rsid w:val="00665416"/>
    <w:rsid w:val="0066772F"/>
    <w:rsid w:val="00667B4F"/>
    <w:rsid w:val="006718D6"/>
    <w:rsid w:val="00673AA6"/>
    <w:rsid w:val="00673FDF"/>
    <w:rsid w:val="006746DB"/>
    <w:rsid w:val="00674974"/>
    <w:rsid w:val="006769CD"/>
    <w:rsid w:val="00677CE7"/>
    <w:rsid w:val="00681028"/>
    <w:rsid w:val="0068145E"/>
    <w:rsid w:val="006865AC"/>
    <w:rsid w:val="0068706D"/>
    <w:rsid w:val="00690CB9"/>
    <w:rsid w:val="00695F98"/>
    <w:rsid w:val="00696760"/>
    <w:rsid w:val="006971BB"/>
    <w:rsid w:val="006A3A81"/>
    <w:rsid w:val="006A417D"/>
    <w:rsid w:val="006B1AC0"/>
    <w:rsid w:val="006B2E16"/>
    <w:rsid w:val="006B416A"/>
    <w:rsid w:val="006B7042"/>
    <w:rsid w:val="006C165C"/>
    <w:rsid w:val="006C207F"/>
    <w:rsid w:val="006C533E"/>
    <w:rsid w:val="006D2835"/>
    <w:rsid w:val="006D401A"/>
    <w:rsid w:val="006D7E83"/>
    <w:rsid w:val="006E7A68"/>
    <w:rsid w:val="006F0169"/>
    <w:rsid w:val="006F28AF"/>
    <w:rsid w:val="006F324B"/>
    <w:rsid w:val="006F559F"/>
    <w:rsid w:val="00701322"/>
    <w:rsid w:val="00701905"/>
    <w:rsid w:val="00704E38"/>
    <w:rsid w:val="007107F9"/>
    <w:rsid w:val="0072000C"/>
    <w:rsid w:val="00724366"/>
    <w:rsid w:val="00726E5D"/>
    <w:rsid w:val="0073367B"/>
    <w:rsid w:val="007340CE"/>
    <w:rsid w:val="00741E2E"/>
    <w:rsid w:val="00757A24"/>
    <w:rsid w:val="00762D87"/>
    <w:rsid w:val="00766743"/>
    <w:rsid w:val="00766ADF"/>
    <w:rsid w:val="00767D19"/>
    <w:rsid w:val="0078116D"/>
    <w:rsid w:val="00794CCF"/>
    <w:rsid w:val="00797937"/>
    <w:rsid w:val="007A05ED"/>
    <w:rsid w:val="007A0CC6"/>
    <w:rsid w:val="007A1659"/>
    <w:rsid w:val="007A33B9"/>
    <w:rsid w:val="007A4793"/>
    <w:rsid w:val="007B099D"/>
    <w:rsid w:val="007B12DF"/>
    <w:rsid w:val="007C15FF"/>
    <w:rsid w:val="007C75DE"/>
    <w:rsid w:val="007D0747"/>
    <w:rsid w:val="007D3A48"/>
    <w:rsid w:val="007D3E0B"/>
    <w:rsid w:val="007D5F43"/>
    <w:rsid w:val="007D7ECE"/>
    <w:rsid w:val="007D7F0C"/>
    <w:rsid w:val="007E0D47"/>
    <w:rsid w:val="007E18FF"/>
    <w:rsid w:val="007E2AAA"/>
    <w:rsid w:val="007E3406"/>
    <w:rsid w:val="007E67F6"/>
    <w:rsid w:val="007F1B51"/>
    <w:rsid w:val="007F7317"/>
    <w:rsid w:val="007F7368"/>
    <w:rsid w:val="007F764C"/>
    <w:rsid w:val="00803D34"/>
    <w:rsid w:val="0080640B"/>
    <w:rsid w:val="00806CAC"/>
    <w:rsid w:val="00807196"/>
    <w:rsid w:val="00814159"/>
    <w:rsid w:val="00817A12"/>
    <w:rsid w:val="00821C04"/>
    <w:rsid w:val="00822022"/>
    <w:rsid w:val="00825B6D"/>
    <w:rsid w:val="00827E61"/>
    <w:rsid w:val="00830525"/>
    <w:rsid w:val="00834C81"/>
    <w:rsid w:val="00834E39"/>
    <w:rsid w:val="008358DA"/>
    <w:rsid w:val="00836265"/>
    <w:rsid w:val="00850032"/>
    <w:rsid w:val="00850CDB"/>
    <w:rsid w:val="00852715"/>
    <w:rsid w:val="008540A5"/>
    <w:rsid w:val="0085572B"/>
    <w:rsid w:val="00862E94"/>
    <w:rsid w:val="00865D6A"/>
    <w:rsid w:val="008713A1"/>
    <w:rsid w:val="00873755"/>
    <w:rsid w:val="00873829"/>
    <w:rsid w:val="008766CA"/>
    <w:rsid w:val="00876E10"/>
    <w:rsid w:val="008770FB"/>
    <w:rsid w:val="00882FB5"/>
    <w:rsid w:val="0088371D"/>
    <w:rsid w:val="00886D18"/>
    <w:rsid w:val="00892BC2"/>
    <w:rsid w:val="008956E0"/>
    <w:rsid w:val="0089623A"/>
    <w:rsid w:val="008B4CDD"/>
    <w:rsid w:val="008B5E6E"/>
    <w:rsid w:val="008C3590"/>
    <w:rsid w:val="008C5B75"/>
    <w:rsid w:val="008C7391"/>
    <w:rsid w:val="008D7EE6"/>
    <w:rsid w:val="008E083F"/>
    <w:rsid w:val="008E21C8"/>
    <w:rsid w:val="008E38C9"/>
    <w:rsid w:val="008E50F3"/>
    <w:rsid w:val="008E754F"/>
    <w:rsid w:val="008E7A87"/>
    <w:rsid w:val="008E7BF0"/>
    <w:rsid w:val="008F0080"/>
    <w:rsid w:val="008F3B0A"/>
    <w:rsid w:val="008F5BEF"/>
    <w:rsid w:val="008F655C"/>
    <w:rsid w:val="00901ED9"/>
    <w:rsid w:val="009020D1"/>
    <w:rsid w:val="00902EE4"/>
    <w:rsid w:val="00903E4D"/>
    <w:rsid w:val="0090520D"/>
    <w:rsid w:val="009062C0"/>
    <w:rsid w:val="0090776D"/>
    <w:rsid w:val="00907D92"/>
    <w:rsid w:val="00910022"/>
    <w:rsid w:val="00910D2A"/>
    <w:rsid w:val="00912648"/>
    <w:rsid w:val="00917E8C"/>
    <w:rsid w:val="009218BD"/>
    <w:rsid w:val="009259C0"/>
    <w:rsid w:val="00927717"/>
    <w:rsid w:val="00933925"/>
    <w:rsid w:val="0093479D"/>
    <w:rsid w:val="00940437"/>
    <w:rsid w:val="0094177A"/>
    <w:rsid w:val="00941FEF"/>
    <w:rsid w:val="009432C7"/>
    <w:rsid w:val="0094356E"/>
    <w:rsid w:val="00945A5E"/>
    <w:rsid w:val="0094697F"/>
    <w:rsid w:val="00946C27"/>
    <w:rsid w:val="00952311"/>
    <w:rsid w:val="00954A52"/>
    <w:rsid w:val="009645EE"/>
    <w:rsid w:val="00971DAE"/>
    <w:rsid w:val="009763B1"/>
    <w:rsid w:val="0098105F"/>
    <w:rsid w:val="009923E9"/>
    <w:rsid w:val="00994583"/>
    <w:rsid w:val="00995B60"/>
    <w:rsid w:val="00996772"/>
    <w:rsid w:val="009A1599"/>
    <w:rsid w:val="009A35FC"/>
    <w:rsid w:val="009C0C23"/>
    <w:rsid w:val="009C6A6B"/>
    <w:rsid w:val="009D053C"/>
    <w:rsid w:val="009D3386"/>
    <w:rsid w:val="009D5316"/>
    <w:rsid w:val="009D58FC"/>
    <w:rsid w:val="009D5E0B"/>
    <w:rsid w:val="009D6176"/>
    <w:rsid w:val="009D73C9"/>
    <w:rsid w:val="009E0057"/>
    <w:rsid w:val="009F66A1"/>
    <w:rsid w:val="00A00463"/>
    <w:rsid w:val="00A00A70"/>
    <w:rsid w:val="00A00F3A"/>
    <w:rsid w:val="00A018A1"/>
    <w:rsid w:val="00A10860"/>
    <w:rsid w:val="00A12023"/>
    <w:rsid w:val="00A3046C"/>
    <w:rsid w:val="00A31F4A"/>
    <w:rsid w:val="00A4576A"/>
    <w:rsid w:val="00A502B8"/>
    <w:rsid w:val="00A54724"/>
    <w:rsid w:val="00A56B49"/>
    <w:rsid w:val="00A60F77"/>
    <w:rsid w:val="00A64180"/>
    <w:rsid w:val="00A67108"/>
    <w:rsid w:val="00A72AEC"/>
    <w:rsid w:val="00A74C11"/>
    <w:rsid w:val="00A75EAA"/>
    <w:rsid w:val="00A77816"/>
    <w:rsid w:val="00A81B11"/>
    <w:rsid w:val="00A81BB8"/>
    <w:rsid w:val="00A83177"/>
    <w:rsid w:val="00A83D2F"/>
    <w:rsid w:val="00A84527"/>
    <w:rsid w:val="00A860AC"/>
    <w:rsid w:val="00A872B0"/>
    <w:rsid w:val="00A87B55"/>
    <w:rsid w:val="00A930A6"/>
    <w:rsid w:val="00A937A1"/>
    <w:rsid w:val="00A93CFC"/>
    <w:rsid w:val="00A97B9C"/>
    <w:rsid w:val="00AA0982"/>
    <w:rsid w:val="00AA1538"/>
    <w:rsid w:val="00AA201F"/>
    <w:rsid w:val="00AA2B27"/>
    <w:rsid w:val="00AB2827"/>
    <w:rsid w:val="00AB6760"/>
    <w:rsid w:val="00AB6AF8"/>
    <w:rsid w:val="00AC5044"/>
    <w:rsid w:val="00AC7122"/>
    <w:rsid w:val="00AC79D4"/>
    <w:rsid w:val="00AD10B4"/>
    <w:rsid w:val="00AD1C0C"/>
    <w:rsid w:val="00AD3294"/>
    <w:rsid w:val="00AD606A"/>
    <w:rsid w:val="00AD63D7"/>
    <w:rsid w:val="00AD7DA9"/>
    <w:rsid w:val="00AE26F1"/>
    <w:rsid w:val="00AE2BCE"/>
    <w:rsid w:val="00AE3144"/>
    <w:rsid w:val="00AE6550"/>
    <w:rsid w:val="00AF0F19"/>
    <w:rsid w:val="00AF2EBC"/>
    <w:rsid w:val="00AF34E1"/>
    <w:rsid w:val="00AF35F8"/>
    <w:rsid w:val="00AF7326"/>
    <w:rsid w:val="00AF7D87"/>
    <w:rsid w:val="00B02D24"/>
    <w:rsid w:val="00B06156"/>
    <w:rsid w:val="00B158E6"/>
    <w:rsid w:val="00B215D6"/>
    <w:rsid w:val="00B2340B"/>
    <w:rsid w:val="00B255B1"/>
    <w:rsid w:val="00B25604"/>
    <w:rsid w:val="00B27A43"/>
    <w:rsid w:val="00B30917"/>
    <w:rsid w:val="00B330C9"/>
    <w:rsid w:val="00B45B5D"/>
    <w:rsid w:val="00B477FF"/>
    <w:rsid w:val="00B5331A"/>
    <w:rsid w:val="00B536A2"/>
    <w:rsid w:val="00B546CE"/>
    <w:rsid w:val="00B57B1C"/>
    <w:rsid w:val="00B61478"/>
    <w:rsid w:val="00B61508"/>
    <w:rsid w:val="00B77869"/>
    <w:rsid w:val="00B77C4C"/>
    <w:rsid w:val="00B80D7D"/>
    <w:rsid w:val="00B818E8"/>
    <w:rsid w:val="00B83F67"/>
    <w:rsid w:val="00B84410"/>
    <w:rsid w:val="00B844C3"/>
    <w:rsid w:val="00B86CB8"/>
    <w:rsid w:val="00B93364"/>
    <w:rsid w:val="00B9359C"/>
    <w:rsid w:val="00B93E96"/>
    <w:rsid w:val="00B94113"/>
    <w:rsid w:val="00B95746"/>
    <w:rsid w:val="00B96992"/>
    <w:rsid w:val="00BA23E2"/>
    <w:rsid w:val="00BA27A3"/>
    <w:rsid w:val="00BA3C2A"/>
    <w:rsid w:val="00BB0EB9"/>
    <w:rsid w:val="00BB397E"/>
    <w:rsid w:val="00BC3DB5"/>
    <w:rsid w:val="00BC554F"/>
    <w:rsid w:val="00BC586C"/>
    <w:rsid w:val="00BD125C"/>
    <w:rsid w:val="00BF0721"/>
    <w:rsid w:val="00BF0C03"/>
    <w:rsid w:val="00BF6107"/>
    <w:rsid w:val="00C01FD5"/>
    <w:rsid w:val="00C13111"/>
    <w:rsid w:val="00C14E3A"/>
    <w:rsid w:val="00C152DD"/>
    <w:rsid w:val="00C202B8"/>
    <w:rsid w:val="00C27DC3"/>
    <w:rsid w:val="00C30545"/>
    <w:rsid w:val="00C3320A"/>
    <w:rsid w:val="00C37AB6"/>
    <w:rsid w:val="00C43FE3"/>
    <w:rsid w:val="00C450B9"/>
    <w:rsid w:val="00C52155"/>
    <w:rsid w:val="00C54B2C"/>
    <w:rsid w:val="00C557A2"/>
    <w:rsid w:val="00C5626C"/>
    <w:rsid w:val="00C602C3"/>
    <w:rsid w:val="00C60F13"/>
    <w:rsid w:val="00C61BE4"/>
    <w:rsid w:val="00C72013"/>
    <w:rsid w:val="00C73855"/>
    <w:rsid w:val="00C756F4"/>
    <w:rsid w:val="00C808A2"/>
    <w:rsid w:val="00C82014"/>
    <w:rsid w:val="00C8282C"/>
    <w:rsid w:val="00C832B0"/>
    <w:rsid w:val="00C8330E"/>
    <w:rsid w:val="00C84107"/>
    <w:rsid w:val="00C86550"/>
    <w:rsid w:val="00C96EC3"/>
    <w:rsid w:val="00CA0520"/>
    <w:rsid w:val="00CA25DD"/>
    <w:rsid w:val="00CA2F5D"/>
    <w:rsid w:val="00CA40B6"/>
    <w:rsid w:val="00CA5903"/>
    <w:rsid w:val="00CA7F13"/>
    <w:rsid w:val="00CB0447"/>
    <w:rsid w:val="00CB11F3"/>
    <w:rsid w:val="00CB2D16"/>
    <w:rsid w:val="00CB34DB"/>
    <w:rsid w:val="00CB7231"/>
    <w:rsid w:val="00CB7BB7"/>
    <w:rsid w:val="00CC14E8"/>
    <w:rsid w:val="00CC5583"/>
    <w:rsid w:val="00CC5F6D"/>
    <w:rsid w:val="00CD5859"/>
    <w:rsid w:val="00CD6477"/>
    <w:rsid w:val="00CD7962"/>
    <w:rsid w:val="00CE66D9"/>
    <w:rsid w:val="00CE7C8E"/>
    <w:rsid w:val="00CF17E9"/>
    <w:rsid w:val="00D0062F"/>
    <w:rsid w:val="00D03C96"/>
    <w:rsid w:val="00D07DAE"/>
    <w:rsid w:val="00D10C20"/>
    <w:rsid w:val="00D1191C"/>
    <w:rsid w:val="00D204FA"/>
    <w:rsid w:val="00D22B86"/>
    <w:rsid w:val="00D2382F"/>
    <w:rsid w:val="00D30547"/>
    <w:rsid w:val="00D32E9E"/>
    <w:rsid w:val="00D37CD0"/>
    <w:rsid w:val="00D37F17"/>
    <w:rsid w:val="00D37F1D"/>
    <w:rsid w:val="00D46B4A"/>
    <w:rsid w:val="00D523D4"/>
    <w:rsid w:val="00D540B9"/>
    <w:rsid w:val="00D542A3"/>
    <w:rsid w:val="00D56D06"/>
    <w:rsid w:val="00D6050D"/>
    <w:rsid w:val="00D66F1B"/>
    <w:rsid w:val="00D74BFF"/>
    <w:rsid w:val="00D76DA0"/>
    <w:rsid w:val="00D822DA"/>
    <w:rsid w:val="00D83424"/>
    <w:rsid w:val="00D9496F"/>
    <w:rsid w:val="00D94B2F"/>
    <w:rsid w:val="00D96BA4"/>
    <w:rsid w:val="00D97059"/>
    <w:rsid w:val="00DA02E9"/>
    <w:rsid w:val="00DA4944"/>
    <w:rsid w:val="00DB091C"/>
    <w:rsid w:val="00DC0AE7"/>
    <w:rsid w:val="00DC1532"/>
    <w:rsid w:val="00DC1800"/>
    <w:rsid w:val="00DC32F9"/>
    <w:rsid w:val="00DC3ABC"/>
    <w:rsid w:val="00DC60D7"/>
    <w:rsid w:val="00DD2668"/>
    <w:rsid w:val="00DD2854"/>
    <w:rsid w:val="00DD6055"/>
    <w:rsid w:val="00DD6E78"/>
    <w:rsid w:val="00DE32E6"/>
    <w:rsid w:val="00DF1E06"/>
    <w:rsid w:val="00DF51FF"/>
    <w:rsid w:val="00DF52CF"/>
    <w:rsid w:val="00E00421"/>
    <w:rsid w:val="00E03954"/>
    <w:rsid w:val="00E05DFB"/>
    <w:rsid w:val="00E1162A"/>
    <w:rsid w:val="00E14A98"/>
    <w:rsid w:val="00E167E8"/>
    <w:rsid w:val="00E17A78"/>
    <w:rsid w:val="00E17EFC"/>
    <w:rsid w:val="00E22C34"/>
    <w:rsid w:val="00E230AF"/>
    <w:rsid w:val="00E2488C"/>
    <w:rsid w:val="00E24EF7"/>
    <w:rsid w:val="00E2538B"/>
    <w:rsid w:val="00E312E2"/>
    <w:rsid w:val="00E33E7D"/>
    <w:rsid w:val="00E3459A"/>
    <w:rsid w:val="00E356CF"/>
    <w:rsid w:val="00E37EA6"/>
    <w:rsid w:val="00E41EF7"/>
    <w:rsid w:val="00E44741"/>
    <w:rsid w:val="00E44E83"/>
    <w:rsid w:val="00E5680C"/>
    <w:rsid w:val="00E57980"/>
    <w:rsid w:val="00E57B2F"/>
    <w:rsid w:val="00E60F8B"/>
    <w:rsid w:val="00E61635"/>
    <w:rsid w:val="00E62877"/>
    <w:rsid w:val="00E709EB"/>
    <w:rsid w:val="00E729EF"/>
    <w:rsid w:val="00E771E8"/>
    <w:rsid w:val="00E80B3E"/>
    <w:rsid w:val="00E81820"/>
    <w:rsid w:val="00E84EEC"/>
    <w:rsid w:val="00E857B0"/>
    <w:rsid w:val="00E85F31"/>
    <w:rsid w:val="00E86EE2"/>
    <w:rsid w:val="00E92EA6"/>
    <w:rsid w:val="00E969EB"/>
    <w:rsid w:val="00E971A4"/>
    <w:rsid w:val="00EA335E"/>
    <w:rsid w:val="00EA44F3"/>
    <w:rsid w:val="00EA6BC0"/>
    <w:rsid w:val="00EB15AD"/>
    <w:rsid w:val="00EB2E1E"/>
    <w:rsid w:val="00EB3C00"/>
    <w:rsid w:val="00EB4C46"/>
    <w:rsid w:val="00EB60D4"/>
    <w:rsid w:val="00EC65CD"/>
    <w:rsid w:val="00ED16C7"/>
    <w:rsid w:val="00ED6E9F"/>
    <w:rsid w:val="00EE01E1"/>
    <w:rsid w:val="00EE14BE"/>
    <w:rsid w:val="00EE1EFD"/>
    <w:rsid w:val="00EE2A1C"/>
    <w:rsid w:val="00EE3093"/>
    <w:rsid w:val="00EE3A15"/>
    <w:rsid w:val="00EE3E28"/>
    <w:rsid w:val="00EF0EC9"/>
    <w:rsid w:val="00EF1546"/>
    <w:rsid w:val="00F008A3"/>
    <w:rsid w:val="00F04F81"/>
    <w:rsid w:val="00F0552D"/>
    <w:rsid w:val="00F07A1E"/>
    <w:rsid w:val="00F11E00"/>
    <w:rsid w:val="00F1483B"/>
    <w:rsid w:val="00F17DAA"/>
    <w:rsid w:val="00F214B0"/>
    <w:rsid w:val="00F2529D"/>
    <w:rsid w:val="00F25B42"/>
    <w:rsid w:val="00F275C6"/>
    <w:rsid w:val="00F27D6E"/>
    <w:rsid w:val="00F31905"/>
    <w:rsid w:val="00F32FB0"/>
    <w:rsid w:val="00F334CE"/>
    <w:rsid w:val="00F36399"/>
    <w:rsid w:val="00F3735A"/>
    <w:rsid w:val="00F41514"/>
    <w:rsid w:val="00F42DC8"/>
    <w:rsid w:val="00F4329D"/>
    <w:rsid w:val="00F4385E"/>
    <w:rsid w:val="00F44B2E"/>
    <w:rsid w:val="00F452F9"/>
    <w:rsid w:val="00F45FCE"/>
    <w:rsid w:val="00F46E0D"/>
    <w:rsid w:val="00F53C0C"/>
    <w:rsid w:val="00F55C6D"/>
    <w:rsid w:val="00F620BE"/>
    <w:rsid w:val="00F72549"/>
    <w:rsid w:val="00F7575F"/>
    <w:rsid w:val="00F808A3"/>
    <w:rsid w:val="00F96B39"/>
    <w:rsid w:val="00F96CA8"/>
    <w:rsid w:val="00FA0711"/>
    <w:rsid w:val="00FA173D"/>
    <w:rsid w:val="00FA37B8"/>
    <w:rsid w:val="00FA3A9E"/>
    <w:rsid w:val="00FB04F8"/>
    <w:rsid w:val="00FB0DF2"/>
    <w:rsid w:val="00FB4554"/>
    <w:rsid w:val="00FB6926"/>
    <w:rsid w:val="00FB7469"/>
    <w:rsid w:val="00FC19CB"/>
    <w:rsid w:val="00FC1BD4"/>
    <w:rsid w:val="00FC4D3C"/>
    <w:rsid w:val="00FC6FE3"/>
    <w:rsid w:val="00FD0111"/>
    <w:rsid w:val="00FD4912"/>
    <w:rsid w:val="00FD4ECA"/>
    <w:rsid w:val="00FE028A"/>
    <w:rsid w:val="00FE312A"/>
    <w:rsid w:val="00FE32E9"/>
    <w:rsid w:val="00FF406C"/>
    <w:rsid w:val="00FF5349"/>
    <w:rsid w:val="00FF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7ED36"/>
  <w15:docId w15:val="{DB7DBE32-7756-451B-91D1-DD9D8314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4F8"/>
    <w:rPr>
      <w:rFonts w:eastAsia="Times New Roman" w:cs="Times New Roman"/>
      <w:sz w:val="24"/>
      <w:szCs w:val="24"/>
    </w:rPr>
  </w:style>
  <w:style w:type="paragraph" w:styleId="Heading1">
    <w:name w:val="heading 1"/>
    <w:basedOn w:val="Normal"/>
    <w:next w:val="Normal"/>
    <w:link w:val="Heading1Char"/>
    <w:qFormat/>
    <w:rsid w:val="002A747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CC558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7717"/>
    <w:pPr>
      <w:tabs>
        <w:tab w:val="center" w:pos="4320"/>
        <w:tab w:val="right" w:pos="8640"/>
      </w:tabs>
    </w:pPr>
  </w:style>
  <w:style w:type="character" w:customStyle="1" w:styleId="FooterChar">
    <w:name w:val="Footer Char"/>
    <w:basedOn w:val="DefaultParagraphFont"/>
    <w:link w:val="Footer"/>
    <w:rsid w:val="00927717"/>
    <w:rPr>
      <w:rFonts w:eastAsia="Times New Roman" w:cs="Times New Roman"/>
      <w:sz w:val="24"/>
      <w:szCs w:val="24"/>
    </w:rPr>
  </w:style>
  <w:style w:type="character" w:styleId="PageNumber">
    <w:name w:val="page number"/>
    <w:basedOn w:val="DefaultParagraphFont"/>
    <w:rsid w:val="00927717"/>
  </w:style>
  <w:style w:type="paragraph" w:styleId="Header">
    <w:name w:val="header"/>
    <w:basedOn w:val="Normal"/>
    <w:link w:val="HeaderChar"/>
    <w:uiPriority w:val="99"/>
    <w:unhideWhenUsed/>
    <w:rsid w:val="00EB60D4"/>
    <w:pPr>
      <w:tabs>
        <w:tab w:val="center" w:pos="4680"/>
        <w:tab w:val="right" w:pos="9360"/>
      </w:tabs>
    </w:pPr>
  </w:style>
  <w:style w:type="character" w:customStyle="1" w:styleId="HeaderChar">
    <w:name w:val="Header Char"/>
    <w:basedOn w:val="DefaultParagraphFont"/>
    <w:link w:val="Header"/>
    <w:uiPriority w:val="99"/>
    <w:rsid w:val="00EB60D4"/>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A"/>
    <w:basedOn w:val="Normal"/>
    <w:link w:val="FootnoteTextChar"/>
    <w:unhideWhenUsed/>
    <w:qFormat/>
    <w:rsid w:val="002936E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A Char"/>
    <w:basedOn w:val="DefaultParagraphFont"/>
    <w:link w:val="FootnoteText"/>
    <w:uiPriority w:val="99"/>
    <w:qFormat/>
    <w:rsid w:val="002936EE"/>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BVI fnr,de nota al p,SUPERS,R,4"/>
    <w:unhideWhenUsed/>
    <w:qFormat/>
    <w:rsid w:val="002936EE"/>
    <w:rPr>
      <w:vertAlign w:val="superscript"/>
    </w:rPr>
  </w:style>
  <w:style w:type="paragraph" w:customStyle="1" w:styleId="Nidung">
    <w:name w:val="Nội dung"/>
    <w:rsid w:val="002936EE"/>
    <w:pPr>
      <w:pBdr>
        <w:top w:val="nil"/>
        <w:left w:val="nil"/>
        <w:bottom w:val="nil"/>
        <w:right w:val="nil"/>
        <w:between w:val="nil"/>
        <w:bar w:val="nil"/>
      </w:pBdr>
    </w:pPr>
    <w:rPr>
      <w:rFonts w:ascii="Helvetica Neue" w:eastAsia="Arial Unicode MS" w:hAnsi="Helvetica Neue" w:cs="Arial Unicode MS"/>
      <w:color w:val="000000"/>
      <w:sz w:val="22"/>
      <w:bdr w:val="nil"/>
    </w:rPr>
  </w:style>
  <w:style w:type="character" w:customStyle="1" w:styleId="Bodytext">
    <w:name w:val="Body text_"/>
    <w:link w:val="BodyText1"/>
    <w:rsid w:val="002936EE"/>
    <w:rPr>
      <w:sz w:val="26"/>
      <w:szCs w:val="26"/>
      <w:shd w:val="clear" w:color="auto" w:fill="FFFFFF"/>
    </w:rPr>
  </w:style>
  <w:style w:type="paragraph" w:customStyle="1" w:styleId="BodyText1">
    <w:name w:val="Body Text1"/>
    <w:basedOn w:val="Normal"/>
    <w:link w:val="Bodytext"/>
    <w:rsid w:val="002936EE"/>
    <w:pPr>
      <w:widowControl w:val="0"/>
      <w:shd w:val="clear" w:color="auto" w:fill="FFFFFF"/>
      <w:spacing w:before="180" w:after="60" w:line="355" w:lineRule="exact"/>
      <w:ind w:firstLine="720"/>
      <w:jc w:val="both"/>
    </w:pPr>
    <w:rPr>
      <w:rFonts w:eastAsiaTheme="minorHAnsi" w:cstheme="minorBidi"/>
      <w:sz w:val="26"/>
      <w:szCs w:val="26"/>
    </w:rPr>
  </w:style>
  <w:style w:type="character" w:styleId="Strong">
    <w:name w:val="Strong"/>
    <w:uiPriority w:val="22"/>
    <w:qFormat/>
    <w:rsid w:val="002B0A00"/>
    <w:rPr>
      <w:b/>
      <w:bCs/>
    </w:rPr>
  </w:style>
  <w:style w:type="character" w:customStyle="1" w:styleId="Heading2Char">
    <w:name w:val="Heading 2 Char"/>
    <w:basedOn w:val="DefaultParagraphFont"/>
    <w:link w:val="Heading2"/>
    <w:rsid w:val="00CC5583"/>
    <w:rPr>
      <w:rFonts w:ascii="Cambria" w:eastAsia="Times New Roman" w:hAnsi="Cambria" w:cs="Times New Roman"/>
      <w:b/>
      <w:bCs/>
      <w:i/>
      <w:iCs/>
      <w:szCs w:val="28"/>
    </w:rPr>
  </w:style>
  <w:style w:type="character" w:styleId="Hyperlink">
    <w:name w:val="Hyperlink"/>
    <w:uiPriority w:val="99"/>
    <w:unhideWhenUsed/>
    <w:rsid w:val="00CC5583"/>
    <w:rPr>
      <w:color w:val="0000FF"/>
      <w:u w:val="single"/>
    </w:rPr>
  </w:style>
  <w:style w:type="character" w:customStyle="1" w:styleId="fontstyle01">
    <w:name w:val="fontstyle01"/>
    <w:rsid w:val="00CC5583"/>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873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755"/>
    <w:rPr>
      <w:rFonts w:ascii="Segoe UI" w:eastAsia="Times New Roman" w:hAnsi="Segoe UI" w:cs="Segoe UI"/>
      <w:sz w:val="18"/>
      <w:szCs w:val="18"/>
    </w:rPr>
  </w:style>
  <w:style w:type="character" w:customStyle="1" w:styleId="fontstyle21">
    <w:name w:val="fontstyle21"/>
    <w:basedOn w:val="DefaultParagraphFont"/>
    <w:rsid w:val="00807196"/>
    <w:rPr>
      <w:rFonts w:ascii="ArialMT" w:hAnsi="ArialMT" w:hint="default"/>
      <w:b w:val="0"/>
      <w:bCs w:val="0"/>
      <w:i w:val="0"/>
      <w:iCs w:val="0"/>
      <w:color w:val="000000"/>
      <w:sz w:val="34"/>
      <w:szCs w:val="34"/>
    </w:rPr>
  </w:style>
  <w:style w:type="paragraph" w:styleId="ListParagraph">
    <w:name w:val="List Paragraph"/>
    <w:basedOn w:val="Normal"/>
    <w:uiPriority w:val="34"/>
    <w:qFormat/>
    <w:rsid w:val="00DC1532"/>
    <w:pPr>
      <w:ind w:left="720"/>
      <w:contextualSpacing/>
    </w:pPr>
  </w:style>
  <w:style w:type="paragraph" w:styleId="BodyTextIndent3">
    <w:name w:val="Body Text Indent 3"/>
    <w:basedOn w:val="Normal"/>
    <w:link w:val="BodyTextIndent3Char"/>
    <w:uiPriority w:val="99"/>
    <w:semiHidden/>
    <w:unhideWhenUsed/>
    <w:rsid w:val="008E754F"/>
    <w:pPr>
      <w:spacing w:after="120"/>
      <w:ind w:left="360"/>
    </w:pPr>
    <w:rPr>
      <w:rFonts w:cs="Arial"/>
      <w:noProof/>
      <w:sz w:val="16"/>
      <w:szCs w:val="16"/>
    </w:rPr>
  </w:style>
  <w:style w:type="character" w:customStyle="1" w:styleId="BodyTextIndent3Char">
    <w:name w:val="Body Text Indent 3 Char"/>
    <w:basedOn w:val="DefaultParagraphFont"/>
    <w:link w:val="BodyTextIndent3"/>
    <w:uiPriority w:val="99"/>
    <w:semiHidden/>
    <w:rsid w:val="008E754F"/>
    <w:rPr>
      <w:rFonts w:eastAsia="Times New Roman" w:cs="Arial"/>
      <w:noProof/>
      <w:sz w:val="16"/>
      <w:szCs w:val="16"/>
    </w:rPr>
  </w:style>
  <w:style w:type="character" w:customStyle="1" w:styleId="Heading1Char">
    <w:name w:val="Heading 1 Char"/>
    <w:basedOn w:val="DefaultParagraphFont"/>
    <w:link w:val="Heading1"/>
    <w:rsid w:val="002A747E"/>
    <w:rPr>
      <w:rFonts w:ascii="Calibri Light" w:eastAsia="Times New Roman" w:hAnsi="Calibri Light" w:cs="Times New Roman"/>
      <w:b/>
      <w:bCs/>
      <w:kern w:val="32"/>
      <w:sz w:val="32"/>
      <w:szCs w:val="32"/>
    </w:rPr>
  </w:style>
  <w:style w:type="paragraph" w:styleId="BodyText0">
    <w:name w:val="Body Text"/>
    <w:aliases w:val="Body Text Char1 Char Char Char Char Char Char Char Char Char Char Char Char Char,Body Text Char1 Char Char Char Char Char Char Char Char Char,Char Char,Char Char Char"/>
    <w:basedOn w:val="Normal"/>
    <w:link w:val="BodyTextChar"/>
    <w:qFormat/>
    <w:rsid w:val="002A747E"/>
    <w:pPr>
      <w:spacing w:after="120"/>
    </w:pPr>
  </w:style>
  <w:style w:type="character" w:customStyle="1" w:styleId="BodyTextChar">
    <w:name w:val="Body Text Char"/>
    <w:aliases w:val="Body Text Char1 Char Char Char Char Char Char Char Char Char Char Char Char Char Char,Body Text Char1 Char Char Char Char Char Char Char Char Char Char,Char Char Char1,Char Char Char Char"/>
    <w:basedOn w:val="DefaultParagraphFont"/>
    <w:link w:val="BodyText0"/>
    <w:uiPriority w:val="99"/>
    <w:rsid w:val="002A747E"/>
    <w:rPr>
      <w:rFonts w:eastAsia="Times New Roman" w:cs="Times New Roman"/>
      <w:sz w:val="24"/>
      <w:szCs w:val="24"/>
    </w:rPr>
  </w:style>
  <w:style w:type="paragraph" w:customStyle="1" w:styleId="CharChar1CharChar1">
    <w:name w:val="Char Char1 Char Char1"/>
    <w:basedOn w:val="Normal"/>
    <w:rsid w:val="002A747E"/>
    <w:rPr>
      <w:rFonts w:ascii="Arial" w:hAnsi="Arial"/>
      <w:sz w:val="22"/>
      <w:szCs w:val="20"/>
      <w:lang w:val="en-AU"/>
    </w:rPr>
  </w:style>
  <w:style w:type="paragraph" w:styleId="NormalWeb">
    <w:name w:val="Normal (Web)"/>
    <w:aliases w:val="Normal (Web) Char Char Char Char Char"/>
    <w:basedOn w:val="Normal"/>
    <w:uiPriority w:val="99"/>
    <w:qFormat/>
    <w:rsid w:val="00865D6A"/>
    <w:pPr>
      <w:spacing w:before="100" w:beforeAutospacing="1" w:after="100" w:afterAutospacing="1"/>
    </w:pPr>
    <w:rPr>
      <w:rFonts w:ascii="Verdana" w:hAnsi="Verdana" w:cs="Verdana"/>
    </w:rPr>
  </w:style>
  <w:style w:type="character" w:styleId="Emphasis">
    <w:name w:val="Emphasis"/>
    <w:uiPriority w:val="20"/>
    <w:qFormat/>
    <w:rsid w:val="00865D6A"/>
    <w:rPr>
      <w:i/>
      <w:iCs/>
    </w:rPr>
  </w:style>
  <w:style w:type="character" w:customStyle="1" w:styleId="markedcontent">
    <w:name w:val="markedcontent"/>
    <w:rsid w:val="00865D6A"/>
  </w:style>
  <w:style w:type="paragraph" w:styleId="PlainText">
    <w:name w:val="Plain Text"/>
    <w:basedOn w:val="Normal"/>
    <w:link w:val="PlainTextChar"/>
    <w:rsid w:val="00172463"/>
    <w:rPr>
      <w:rFonts w:ascii="Courier New" w:hAnsi="Courier New" w:cs="Courier New"/>
      <w:sz w:val="20"/>
      <w:szCs w:val="20"/>
    </w:rPr>
  </w:style>
  <w:style w:type="character" w:customStyle="1" w:styleId="PlainTextChar">
    <w:name w:val="Plain Text Char"/>
    <w:basedOn w:val="DefaultParagraphFont"/>
    <w:link w:val="PlainText"/>
    <w:rsid w:val="00172463"/>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1F5E18"/>
    <w:pPr>
      <w:spacing w:after="120"/>
      <w:ind w:left="360"/>
    </w:pPr>
  </w:style>
  <w:style w:type="character" w:customStyle="1" w:styleId="BodyTextIndentChar">
    <w:name w:val="Body Text Indent Char"/>
    <w:basedOn w:val="DefaultParagraphFont"/>
    <w:link w:val="BodyTextIndent"/>
    <w:uiPriority w:val="99"/>
    <w:semiHidden/>
    <w:rsid w:val="001F5E1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3636">
      <w:bodyDiv w:val="1"/>
      <w:marLeft w:val="0"/>
      <w:marRight w:val="0"/>
      <w:marTop w:val="0"/>
      <w:marBottom w:val="0"/>
      <w:divBdr>
        <w:top w:val="none" w:sz="0" w:space="0" w:color="auto"/>
        <w:left w:val="none" w:sz="0" w:space="0" w:color="auto"/>
        <w:bottom w:val="none" w:sz="0" w:space="0" w:color="auto"/>
        <w:right w:val="none" w:sz="0" w:space="0" w:color="auto"/>
      </w:divBdr>
    </w:div>
    <w:div w:id="542252654">
      <w:bodyDiv w:val="1"/>
      <w:marLeft w:val="0"/>
      <w:marRight w:val="0"/>
      <w:marTop w:val="0"/>
      <w:marBottom w:val="0"/>
      <w:divBdr>
        <w:top w:val="none" w:sz="0" w:space="0" w:color="auto"/>
        <w:left w:val="none" w:sz="0" w:space="0" w:color="auto"/>
        <w:bottom w:val="none" w:sz="0" w:space="0" w:color="auto"/>
        <w:right w:val="none" w:sz="0" w:space="0" w:color="auto"/>
      </w:divBdr>
    </w:div>
    <w:div w:id="59737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A504E-6450-4E32-BE74-E5DFA8DE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11</cp:lastModifiedBy>
  <cp:revision>9</cp:revision>
  <cp:lastPrinted>2021-10-28T09:14:00Z</cp:lastPrinted>
  <dcterms:created xsi:type="dcterms:W3CDTF">2024-05-11T15:39:00Z</dcterms:created>
  <dcterms:modified xsi:type="dcterms:W3CDTF">2025-06-27T02:57:00Z</dcterms:modified>
</cp:coreProperties>
</file>